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FFA5F" w14:textId="77777777" w:rsidR="00AB3AA8" w:rsidRDefault="00AB3AA8" w:rsidP="00AB3AA8">
      <w:pPr>
        <w:jc w:val="center"/>
        <w:rPr>
          <w:rFonts w:ascii="Times New Roman" w:hAnsi="Times New Roman"/>
          <w:sz w:val="24"/>
          <w:szCs w:val="22"/>
        </w:rPr>
      </w:pPr>
      <w:r>
        <w:rPr>
          <w:rFonts w:ascii="Times New Roman" w:hAnsi="Times New Roman"/>
          <w:sz w:val="24"/>
        </w:rPr>
        <w:t>HU</w:t>
      </w:r>
    </w:p>
    <w:p w14:paraId="21950E32" w14:textId="77777777" w:rsidR="00AB3AA8" w:rsidRDefault="00AB3AA8" w:rsidP="00AB3AA8">
      <w:pPr>
        <w:rPr>
          <w:rFonts w:asciiTheme="minorHAnsi" w:hAnsiTheme="minorHAnsi"/>
          <w:sz w:val="22"/>
        </w:rPr>
      </w:pPr>
    </w:p>
    <w:p w14:paraId="7630D4F1" w14:textId="77777777" w:rsidR="00393F1E" w:rsidRPr="00037E7B" w:rsidRDefault="00393F1E" w:rsidP="00393F1E">
      <w:pPr>
        <w:jc w:val="center"/>
        <w:rPr>
          <w:rFonts w:ascii="Times New Roman" w:hAnsi="Times New Roman"/>
          <w:sz w:val="24"/>
        </w:rPr>
      </w:pPr>
      <w:r>
        <w:rPr>
          <w:rFonts w:ascii="Times New Roman" w:hAnsi="Times New Roman"/>
          <w:sz w:val="24"/>
        </w:rPr>
        <w:t>II. MELLÉKLET</w:t>
      </w:r>
    </w:p>
    <w:p w14:paraId="4A662760" w14:textId="77777777" w:rsidR="00393F1E" w:rsidRPr="00037E7B" w:rsidRDefault="00393F1E" w:rsidP="00393F1E">
      <w:pPr>
        <w:jc w:val="center"/>
        <w:rPr>
          <w:rFonts w:ascii="Times New Roman" w:hAnsi="Times New Roman"/>
          <w:sz w:val="24"/>
        </w:rPr>
      </w:pPr>
      <w:r>
        <w:rPr>
          <w:rFonts w:ascii="Times New Roman" w:hAnsi="Times New Roman"/>
          <w:sz w:val="24"/>
        </w:rPr>
        <w:t>„II. MELLÉKLET</w:t>
      </w:r>
    </w:p>
    <w:p w14:paraId="4C01682A" w14:textId="77777777" w:rsidR="00393F1E" w:rsidRPr="00037E7B" w:rsidRDefault="00393F1E" w:rsidP="00393F1E">
      <w:pPr>
        <w:jc w:val="center"/>
        <w:rPr>
          <w:rFonts w:ascii="Times New Roman" w:hAnsi="Times New Roman"/>
          <w:b/>
          <w:sz w:val="24"/>
        </w:rPr>
      </w:pPr>
      <w:r>
        <w:rPr>
          <w:rFonts w:ascii="Times New Roman" w:hAnsi="Times New Roman"/>
          <w:b/>
          <w:sz w:val="24"/>
        </w:rPr>
        <w:t>ÚTMUTATÓ A SZAVATOLÓTŐKÉRE ÉS A SZAVATOLÓTŐKE-KÖVETELMÉNYEKRE VONATKOZÓ ADATSZOLGÁLTATÁSHOZ</w:t>
      </w:r>
    </w:p>
    <w:p w14:paraId="6B9B322A" w14:textId="77777777" w:rsidR="00E26A90" w:rsidRDefault="00E26A90"/>
    <w:p w14:paraId="0A62D0FD" w14:textId="77777777" w:rsidR="00626DD7" w:rsidRDefault="00626DD7" w:rsidP="00626DD7">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II. RÉSZ: TÁBLASPECIFIKUS ÚTMUTATÓ</w:t>
      </w:r>
    </w:p>
    <w:p w14:paraId="0BF83CF9" w14:textId="77777777" w:rsidR="00626DD7" w:rsidRDefault="00626DD7" w:rsidP="00626DD7">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4D47E5BD" w14:textId="77777777" w:rsidR="00626DD7" w:rsidRPr="00736637" w:rsidRDefault="00626DD7" w:rsidP="00626DD7">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19E744EA" w14:textId="77777777" w:rsidR="00626DD7" w:rsidRDefault="00626DD7"/>
    <w:p w14:paraId="3B628AE5" w14:textId="6F51021A" w:rsidR="00FB3D09" w:rsidRPr="002A677E" w:rsidRDefault="00582B0D" w:rsidP="00FB3D09">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3.3 – Hitelkockázat, partnerkockázat és nyitva szállítások: az IRB módszer szerinti szavatolótőke-követelmény (CR IRB)</w:t>
      </w:r>
    </w:p>
    <w:p w14:paraId="4E7759A8" w14:textId="77777777" w:rsidR="00FB3D09" w:rsidRPr="002A677E" w:rsidRDefault="00FB3D09" w:rsidP="00FB3D09">
      <w:pPr>
        <w:pStyle w:val="Instructionsberschrift2"/>
        <w:numPr>
          <w:ilvl w:val="0"/>
          <w:numId w:val="0"/>
        </w:numPr>
        <w:ind w:left="357" w:hanging="357"/>
        <w:rPr>
          <w:rFonts w:ascii="Times New Roman" w:hAnsi="Times New Roman" w:cs="Times New Roman"/>
          <w:sz w:val="24"/>
        </w:rPr>
      </w:pPr>
      <w:bookmarkStart w:id="0" w:name="_Toc360188358"/>
      <w:bookmarkStart w:id="1" w:name="_Toc473560907"/>
      <w:bookmarkStart w:id="2" w:name="_Toc151714395"/>
      <w:r>
        <w:rPr>
          <w:rFonts w:ascii="Times New Roman" w:hAnsi="Times New Roman"/>
          <w:sz w:val="24"/>
          <w:u w:val="none"/>
        </w:rPr>
        <w:t>3.3.1.</w:t>
      </w:r>
      <w:r>
        <w:rPr>
          <w:rFonts w:ascii="Times New Roman" w:hAnsi="Times New Roman"/>
          <w:sz w:val="24"/>
          <w:u w:val="none"/>
        </w:rPr>
        <w:tab/>
      </w:r>
      <w:r>
        <w:rPr>
          <w:rFonts w:ascii="Times New Roman" w:hAnsi="Times New Roman"/>
          <w:sz w:val="24"/>
        </w:rPr>
        <w:t>A CR IRB tábla alkalmazási köre</w:t>
      </w:r>
      <w:bookmarkEnd w:id="0"/>
      <w:bookmarkEnd w:id="1"/>
      <w:bookmarkEnd w:id="2"/>
    </w:p>
    <w:p w14:paraId="53B757C0" w14:textId="77777777" w:rsidR="00FB3D09" w:rsidRPr="002A677E" w:rsidRDefault="00FB3D09" w:rsidP="00FB3D09">
      <w:pPr>
        <w:pStyle w:val="InstructionsText2"/>
        <w:numPr>
          <w:ilvl w:val="0"/>
          <w:numId w:val="0"/>
        </w:numPr>
        <w:ind w:left="993"/>
      </w:pPr>
      <w:r>
        <w:fldChar w:fldCharType="begin"/>
      </w:r>
      <w:r>
        <w:instrText xml:space="preserve"> seq paragraphs </w:instrText>
      </w:r>
      <w:r>
        <w:fldChar w:fldCharType="separate"/>
      </w:r>
      <w:r>
        <w:t>72</w:t>
      </w:r>
      <w:r>
        <w:fldChar w:fldCharType="end"/>
      </w:r>
      <w:r>
        <w:t>.</w:t>
      </w:r>
      <w:r>
        <w:tab/>
        <w:t>A CR IRB tábla a következőkre alkalmazandó:</w:t>
      </w:r>
    </w:p>
    <w:p w14:paraId="3BAE32CC" w14:textId="77777777" w:rsidR="00FB3D09" w:rsidRPr="002A677E" w:rsidRDefault="00FB3D09" w:rsidP="00FB3D09">
      <w:pPr>
        <w:pStyle w:val="InstructionsText2"/>
        <w:numPr>
          <w:ilvl w:val="0"/>
          <w:numId w:val="0"/>
        </w:numPr>
        <w:ind w:left="993"/>
      </w:pPr>
      <w:r>
        <w:t>i.</w:t>
      </w:r>
      <w:r>
        <w:tab/>
        <w:t>banki könyvben nyilvántartott hitelkockázat, ezen belül:</w:t>
      </w:r>
    </w:p>
    <w:p w14:paraId="24DF91FB" w14:textId="77777777" w:rsidR="00FB3D09" w:rsidRPr="002A677E" w:rsidRDefault="00FB3D09" w:rsidP="00FB3D09">
      <w:pPr>
        <w:pStyle w:val="InstructionsText2"/>
        <w:numPr>
          <w:ilvl w:val="0"/>
          <w:numId w:val="0"/>
        </w:numPr>
        <w:ind w:left="993"/>
      </w:pPr>
      <w:r>
        <w:t>banki könyvben nyilvántartott partnerkockázat;</w:t>
      </w:r>
    </w:p>
    <w:p w14:paraId="2FF003CE" w14:textId="77777777" w:rsidR="00FB3D09" w:rsidRPr="002A677E" w:rsidRDefault="00FB3D09" w:rsidP="00FB3D09">
      <w:pPr>
        <w:pStyle w:val="InstructionsText2"/>
        <w:numPr>
          <w:ilvl w:val="0"/>
          <w:numId w:val="0"/>
        </w:numPr>
        <w:ind w:left="993"/>
      </w:pPr>
      <w:r>
        <w:t>vásárolt követelések felhígulási kockázata;</w:t>
      </w:r>
    </w:p>
    <w:p w14:paraId="25CEC377" w14:textId="77777777" w:rsidR="00FB3D09" w:rsidRPr="002A677E" w:rsidRDefault="00FB3D09" w:rsidP="00FB3D09">
      <w:pPr>
        <w:pStyle w:val="InstructionsText2"/>
        <w:numPr>
          <w:ilvl w:val="0"/>
          <w:numId w:val="0"/>
        </w:numPr>
        <w:ind w:left="993"/>
      </w:pPr>
      <w:r>
        <w:t>ii.</w:t>
      </w:r>
      <w:r>
        <w:tab/>
        <w:t>kereskedési könyvben nyilvántartott partnerkockázat;</w:t>
      </w:r>
    </w:p>
    <w:p w14:paraId="082D669A" w14:textId="77777777" w:rsidR="00FB3D09" w:rsidRPr="002A677E" w:rsidRDefault="00FB3D09" w:rsidP="00FB3D09">
      <w:pPr>
        <w:pStyle w:val="InstructionsText2"/>
        <w:numPr>
          <w:ilvl w:val="0"/>
          <w:numId w:val="0"/>
        </w:numPr>
        <w:ind w:left="993"/>
      </w:pPr>
      <w:r>
        <w:t>iii.</w:t>
      </w:r>
      <w:r>
        <w:tab/>
        <w:t>az összes üzleti tevékenységből származó nyitva szállítások.</w:t>
      </w:r>
    </w:p>
    <w:p w14:paraId="50C5E887" w14:textId="77777777" w:rsidR="00FB3D09" w:rsidRPr="002A677E" w:rsidRDefault="00FB3D09" w:rsidP="00FB3D09">
      <w:pPr>
        <w:pStyle w:val="InstructionsText2"/>
        <w:numPr>
          <w:ilvl w:val="0"/>
          <w:numId w:val="0"/>
        </w:numPr>
        <w:ind w:left="993"/>
      </w:pPr>
      <w:r>
        <w:t>73.</w:t>
      </w:r>
      <w:r>
        <w:tab/>
        <w:t xml:space="preserve">A tábla alkalmazási köre azokra a kitettségekre terjed ki, amelyeknek kockázattal súlyozott kitettségértékét az 575/2013/EU rendelet harmadik része II. címe 3. fejezetének 151–157. cikke alapján (IRB módszerrel) számítják ki. </w:t>
      </w:r>
    </w:p>
    <w:p w14:paraId="537660ED" w14:textId="77777777" w:rsidR="00FB3D09" w:rsidRPr="002A677E" w:rsidRDefault="00FB3D09" w:rsidP="00FB3D09">
      <w:pPr>
        <w:pStyle w:val="InstructionsText2"/>
        <w:numPr>
          <w:ilvl w:val="0"/>
          <w:numId w:val="0"/>
        </w:numPr>
        <w:ind w:left="993"/>
      </w:pPr>
      <w:r>
        <w:fldChar w:fldCharType="begin"/>
      </w:r>
      <w:r>
        <w:instrText xml:space="preserve"> seq paragraphs </w:instrText>
      </w:r>
      <w:r>
        <w:fldChar w:fldCharType="separate"/>
      </w:r>
      <w:r>
        <w:t>74</w:t>
      </w:r>
      <w:r>
        <w:fldChar w:fldCharType="end"/>
      </w:r>
      <w:r>
        <w:t xml:space="preserve">. A CR IRB tábla alkalmazási köre nem terjed ki a következő adatokra: </w:t>
      </w:r>
    </w:p>
    <w:p w14:paraId="7F7154C9" w14:textId="77777777" w:rsidR="00FB3D09" w:rsidRPr="002A677E" w:rsidRDefault="00FB3D09" w:rsidP="00FB3D09">
      <w:pPr>
        <w:pStyle w:val="InstructionsText2"/>
        <w:numPr>
          <w:ilvl w:val="0"/>
          <w:numId w:val="0"/>
        </w:numPr>
        <w:ind w:left="993"/>
      </w:pPr>
      <w:r>
        <w:t>i.</w:t>
      </w:r>
      <w:r>
        <w:tab/>
        <w:t xml:space="preserve">a CR EQU IRB táblán feltüntetett részvényjellegű kitettségek; </w:t>
      </w:r>
    </w:p>
    <w:p w14:paraId="39CEAA6A" w14:textId="77777777" w:rsidR="00FB3D09" w:rsidRPr="002A677E" w:rsidRDefault="00FB3D09" w:rsidP="00FB3D09">
      <w:pPr>
        <w:pStyle w:val="InstructionsText2"/>
        <w:numPr>
          <w:ilvl w:val="0"/>
          <w:numId w:val="0"/>
        </w:numPr>
        <w:ind w:left="993"/>
      </w:pPr>
      <w:r>
        <w:t>ii.</w:t>
      </w:r>
      <w:r>
        <w:tab/>
        <w:t>a CR SEC és/vagy a CR SEC Details táblán feltüntetett értékpapírosítási pozíciók;</w:t>
      </w:r>
    </w:p>
    <w:p w14:paraId="486C870A" w14:textId="77777777" w:rsidR="00FB3D09" w:rsidRPr="002A677E" w:rsidRDefault="00FB3D09" w:rsidP="00FB3D09">
      <w:pPr>
        <w:pStyle w:val="InstructionsText2"/>
        <w:numPr>
          <w:ilvl w:val="0"/>
          <w:numId w:val="0"/>
        </w:numPr>
        <w:ind w:left="993"/>
      </w:pPr>
      <w:r>
        <w:t>iii.</w:t>
      </w:r>
      <w:r>
        <w:tab/>
        <w:t xml:space="preserve"> az 575/2013/EU rendelet 147. cikke (2) bekezdésének g) pontjában említett „egyéb, nem hitelkötelezettséget megtestesítő eszközök”. E kitettségi osztály kockázati súlya minden esetben 100 %, kivéve a készpénzállományt és az azzal egyenértékű készpénztételeket, valamint a lízingelt eszközök maradványértékét az 575/2013/EU rendelet 156. cikke szerint. Az ehhez a kitettségi osztályhoz tartozó, kockázattal súlyozott kitettségértékeket közvetlenül a CA táblán kell feltüntetni;</w:t>
      </w:r>
    </w:p>
    <w:p w14:paraId="06855F02" w14:textId="77777777" w:rsidR="00FB3D09" w:rsidRPr="002A677E" w:rsidRDefault="00FB3D09" w:rsidP="00FB3D09">
      <w:pPr>
        <w:pStyle w:val="InstructionsText2"/>
        <w:numPr>
          <w:ilvl w:val="0"/>
          <w:numId w:val="0"/>
        </w:numPr>
        <w:ind w:left="993"/>
      </w:pPr>
      <w:r>
        <w:t>iv.</w:t>
      </w:r>
      <w:r>
        <w:tab/>
        <w:t>a CVA-kockázat tábláján feltüntetett hitelértékelési korrekciós kockázatra;</w:t>
      </w:r>
    </w:p>
    <w:p w14:paraId="459A7112" w14:textId="77777777" w:rsidR="00FB3D09" w:rsidRPr="002A677E" w:rsidRDefault="00FB3D09" w:rsidP="00FB3D09">
      <w:pPr>
        <w:pStyle w:val="InstructionsText2"/>
        <w:numPr>
          <w:ilvl w:val="0"/>
          <w:numId w:val="0"/>
        </w:numPr>
        <w:ind w:left="993"/>
      </w:pPr>
      <w:r>
        <w:lastRenderedPageBreak/>
        <w:t xml:space="preserve">A CR IRB táblán nem szükséges az IRB kitettségeket a partner székhelye szerinti földrajzi bontásban megadni. Az így csoportosított adatok a CR GB táblán szerepelnek. </w:t>
      </w:r>
    </w:p>
    <w:p w14:paraId="50F092DC" w14:textId="0C6EC878" w:rsidR="00FB3D09" w:rsidRPr="002A677E" w:rsidRDefault="00FB3D09" w:rsidP="00FB3D09">
      <w:pPr>
        <w:autoSpaceDE w:val="0"/>
        <w:autoSpaceDN w:val="0"/>
        <w:adjustRightInd w:val="0"/>
        <w:spacing w:before="0" w:after="240"/>
        <w:ind w:left="1418"/>
        <w:jc w:val="left"/>
        <w:rPr>
          <w:rFonts w:ascii="Times New Roman" w:hAnsi="Times New Roman"/>
          <w:sz w:val="24"/>
        </w:rPr>
      </w:pPr>
      <w:r>
        <w:rPr>
          <w:rFonts w:ascii="Times New Roman" w:hAnsi="Times New Roman"/>
          <w:sz w:val="24"/>
        </w:rPr>
        <w:t xml:space="preserve">Az i. és </w:t>
      </w:r>
      <w:r w:rsidR="002054D0">
        <w:rPr>
          <w:rFonts w:ascii="Times New Roman" w:hAnsi="Times New Roman"/>
          <w:sz w:val="24"/>
        </w:rPr>
        <w:t>a</w:t>
      </w:r>
      <w:r>
        <w:rPr>
          <w:rFonts w:ascii="Times New Roman" w:hAnsi="Times New Roman"/>
          <w:sz w:val="24"/>
        </w:rPr>
        <w:t xml:space="preserve"> iii. tétel nem vonatkozik a CR IRB 7 táblára.</w:t>
      </w:r>
    </w:p>
    <w:p w14:paraId="383EDB2A"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75</w:t>
      </w:r>
      <w:r>
        <w:fldChar w:fldCharType="end"/>
      </w:r>
      <w:r>
        <w:t>.</w:t>
      </w:r>
      <w:r>
        <w:tab/>
        <w:t>Annak egyértelművé tétele érdekében, hogy az intézmény az LGD és/vagy a hitel-egyenértékesítési tényezők értékét saját becsléssel állapítja-e meg, az adatszolgáltatásban szereplő minden kitettségi osztályra vonatkozóan meg kell adni az alábbi információkat:</w:t>
      </w:r>
    </w:p>
    <w:p w14:paraId="5E6A9A8B" w14:textId="77777777" w:rsidR="00FB3D09" w:rsidRPr="002A677E" w:rsidRDefault="00FB3D09" w:rsidP="00FB3D09">
      <w:pPr>
        <w:autoSpaceDE w:val="0"/>
        <w:autoSpaceDN w:val="0"/>
        <w:adjustRightInd w:val="0"/>
        <w:spacing w:before="0" w:after="240"/>
        <w:ind w:left="993"/>
        <w:jc w:val="left"/>
        <w:rPr>
          <w:rFonts w:ascii="Times New Roman" w:hAnsi="Times New Roman"/>
          <w:sz w:val="24"/>
        </w:rPr>
      </w:pPr>
      <w:r>
        <w:rPr>
          <w:rFonts w:ascii="Times New Roman" w:hAnsi="Times New Roman"/>
          <w:sz w:val="24"/>
        </w:rPr>
        <w:t>NEM = az LGD és a hitel-egyenértékesítési tényezők felügyeleti becslése esetén (IRB alapmódszer);</w:t>
      </w:r>
    </w:p>
    <w:p w14:paraId="3AB7C0DB" w14:textId="77777777" w:rsidR="00FB3D09" w:rsidRPr="002A677E" w:rsidRDefault="00FB3D09" w:rsidP="00FB3D09">
      <w:pPr>
        <w:autoSpaceDE w:val="0"/>
        <w:autoSpaceDN w:val="0"/>
        <w:adjustRightInd w:val="0"/>
        <w:spacing w:before="0" w:after="240"/>
        <w:ind w:left="993"/>
        <w:jc w:val="left"/>
        <w:rPr>
          <w:rFonts w:ascii="Times New Roman" w:hAnsi="Times New Roman"/>
          <w:sz w:val="24"/>
        </w:rPr>
      </w:pPr>
      <w:r>
        <w:rPr>
          <w:rFonts w:ascii="Times New Roman" w:hAnsi="Times New Roman"/>
          <w:sz w:val="24"/>
        </w:rPr>
        <w:t>IGEN = az LGD és/vagy a hitel-egyenértékesítési tényezők saját becslése esetén (fejlett IRB módszer). Ez minden lakossági portfóliót magában foglal.</w:t>
      </w:r>
    </w:p>
    <w:p w14:paraId="366E5CCA" w14:textId="77777777" w:rsidR="00FB3D09" w:rsidRPr="002A677E" w:rsidRDefault="00FB3D09" w:rsidP="00FB3D09">
      <w:pPr>
        <w:autoSpaceDE w:val="0"/>
        <w:autoSpaceDN w:val="0"/>
        <w:adjustRightInd w:val="0"/>
        <w:spacing w:before="0" w:after="240"/>
        <w:ind w:left="993"/>
        <w:jc w:val="left"/>
        <w:rPr>
          <w:rFonts w:ascii="Times New Roman" w:hAnsi="Times New Roman"/>
          <w:sz w:val="24"/>
        </w:rPr>
      </w:pPr>
      <w:r>
        <w:rPr>
          <w:rFonts w:ascii="Times New Roman" w:hAnsi="Times New Roman"/>
          <w:sz w:val="24"/>
        </w:rPr>
        <w:t>Ha egy intézmény az IRB kitettségek egy részére vonatkozó kockázattal súlyozott kitettségértékeket saját LGD-értékek alapján, az IRB kitettségek fennmaradó részére vonatkozó kockázattal súlyozott kitettségértékeket pedig felügyeleti LGD-értékek alapján számítja ki, akkor egy CR IRB Összesen táblát kell jelenteni az F-IRB pozíciókra és egy külön CR IRB Összesen táblát az A-IRB pozíciókra vonatkozóan.</w:t>
      </w:r>
    </w:p>
    <w:p w14:paraId="42EA72F2" w14:textId="77777777" w:rsidR="00FB3D09" w:rsidRPr="002A677E" w:rsidRDefault="00FB3D09" w:rsidP="00FB3D09">
      <w:pPr>
        <w:pStyle w:val="Instructionsberschrift2"/>
        <w:numPr>
          <w:ilvl w:val="0"/>
          <w:numId w:val="0"/>
        </w:numPr>
        <w:rPr>
          <w:rFonts w:ascii="Times New Roman" w:hAnsi="Times New Roman" w:cs="Times New Roman"/>
          <w:sz w:val="24"/>
        </w:rPr>
      </w:pPr>
      <w:bookmarkStart w:id="3" w:name="_Toc262568037"/>
      <w:bookmarkStart w:id="4" w:name="_Toc264038435"/>
      <w:bookmarkStart w:id="5" w:name="_Toc295829865"/>
      <w:bookmarkStart w:id="6" w:name="_Toc308155142"/>
      <w:bookmarkStart w:id="7" w:name="_Toc310415028"/>
      <w:bookmarkStart w:id="8" w:name="_Toc360188359"/>
      <w:bookmarkStart w:id="9" w:name="_Toc473560908"/>
      <w:bookmarkStart w:id="10" w:name="_Toc151714396"/>
      <w:r>
        <w:rPr>
          <w:rFonts w:ascii="Times New Roman" w:hAnsi="Times New Roman"/>
          <w:sz w:val="24"/>
          <w:u w:val="none"/>
        </w:rPr>
        <w:t>3.3.2.</w:t>
      </w:r>
      <w:r>
        <w:rPr>
          <w:rFonts w:ascii="Times New Roman" w:hAnsi="Times New Roman"/>
          <w:sz w:val="24"/>
          <w:u w:val="none"/>
        </w:rPr>
        <w:tab/>
      </w:r>
      <w:r>
        <w:rPr>
          <w:rFonts w:ascii="Times New Roman" w:hAnsi="Times New Roman"/>
          <w:sz w:val="24"/>
        </w:rPr>
        <w:t>A CR IRB táblacsoport felosztása</w:t>
      </w:r>
      <w:bookmarkEnd w:id="3"/>
      <w:bookmarkEnd w:id="4"/>
      <w:bookmarkEnd w:id="5"/>
      <w:bookmarkEnd w:id="6"/>
      <w:bookmarkEnd w:id="7"/>
      <w:bookmarkEnd w:id="8"/>
      <w:bookmarkEnd w:id="9"/>
      <w:bookmarkEnd w:id="10"/>
    </w:p>
    <w:p w14:paraId="37488548" w14:textId="1E62BF0E" w:rsidR="00FB3D09" w:rsidRDefault="00FB3D09" w:rsidP="00FB3D09">
      <w:pPr>
        <w:pStyle w:val="InstructionsText2"/>
        <w:numPr>
          <w:ilvl w:val="0"/>
          <w:numId w:val="0"/>
        </w:numPr>
        <w:ind w:left="993"/>
      </w:pPr>
      <w:r>
        <w:fldChar w:fldCharType="begin"/>
      </w:r>
      <w:r>
        <w:instrText>seq paragraphs</w:instrText>
      </w:r>
      <w:r>
        <w:fldChar w:fldCharType="separate"/>
      </w:r>
      <w:r>
        <w:t>76</w:t>
      </w:r>
      <w:r>
        <w:fldChar w:fldCharType="end"/>
      </w:r>
      <w:r>
        <w:t>.</w:t>
      </w:r>
      <w:r>
        <w:tab/>
        <w:t>A CR IRB táblacsoport hét táblából áll. A CR IRB 1 általános áttekintést nyújt az IRB-kitettségekről és a kockázattal súlyozott kitettségértékek különböző számítási módszereiről, továbbá kitettségtípusok szerint csoportosítja a teljes kitettségállományt. A CR IRB 2 a teljes kitettségállományt kötelezetti kategóriák vagy halmazok (pool) szerinti bontásban mutatja be (a CR IRB 1 0070-es sorában feltüntetett kitettségek). A CR IRB 3 mutatja be az IRB-modellek hitelkockázati tőkekövetelményének kiszámításához használt összes releváns paramétert. A CR IRB 4 az IRB módszer szerint meghatározott, kockázattal súlyozott hitelkockázati kitettségértékek változásait magyarázó kimutatást tartalmaz. A CR IRB 5 a jelentett modellekre vonatkozóan a PD-k utótesztelésének eredményeiről nyújt információt. A CR IRB 6 tartalmazza a slotting módszer szerinti speciális hitelezési kitettségek esetében a hitelkockázati tőkekövetelmények kiszámításához használt releváns paramétereket. A CR IRB 7 áttekintést nyújt a sztenderd módszer vagy az IRB módszer hatálya alá tartozó kitettségérték százalékos arányáról minden egyes releváns kitettségi osztály tekintetében. Az alábbi kitettségi osztályokra és alosztályokra vonatkozóan a CR IRB 1, CR IRB 2, CR IRB 3 és CR IRB 5 táblán külön kell adatot szolgáltatni (a tájékoztató adat egy kitettségi alosztályhoz hasonlóan külön van feltüntetve, de nem kapcsolódik a C 02.00 táblához, és nem képezi részét az összesítő (Teljes) táblának):</w:t>
      </w:r>
    </w:p>
    <w:p w14:paraId="23A3F056" w14:textId="64EA1880" w:rsidR="00FD1A9F" w:rsidRPr="00126E51" w:rsidRDefault="006B0F8A" w:rsidP="00126E51">
      <w:pPr>
        <w:autoSpaceDE w:val="0"/>
        <w:autoSpaceDN w:val="0"/>
        <w:adjustRightInd w:val="0"/>
        <w:spacing w:before="0" w:after="0"/>
        <w:ind w:left="708"/>
        <w:jc w:val="left"/>
        <w:rPr>
          <w:u w:val="single"/>
        </w:rPr>
      </w:pPr>
      <w:r>
        <w:rPr>
          <w:rFonts w:ascii="Times New Roman" w:hAnsi="Times New Roman"/>
          <w:sz w:val="24"/>
          <w:u w:val="single"/>
        </w:rPr>
        <w:t>A) IRB módszer a nemteljesítéskori veszteségrátára (LGD) vonatkozó saját becslés és hitel-egyenértékesítési tényező (CCF) mellőzésével (a belső minősítésen alapuló módszer alapváltozata)</w:t>
      </w:r>
    </w:p>
    <w:p w14:paraId="742DED0D" w14:textId="60DC622C" w:rsidR="00FB3D09" w:rsidRPr="00126E51" w:rsidRDefault="006B0F8A" w:rsidP="006B0F8A">
      <w:pPr>
        <w:autoSpaceDE w:val="0"/>
        <w:autoSpaceDN w:val="0"/>
        <w:adjustRightInd w:val="0"/>
        <w:spacing w:before="0" w:after="0"/>
        <w:ind w:left="708"/>
        <w:jc w:val="left"/>
        <w:rPr>
          <w:rFonts w:ascii="Times New Roman" w:hAnsi="Times New Roman"/>
          <w:sz w:val="24"/>
        </w:rPr>
      </w:pPr>
      <w:r>
        <w:rPr>
          <w:rFonts w:ascii="Times New Roman" w:hAnsi="Times New Roman"/>
          <w:sz w:val="24"/>
        </w:rPr>
        <w:t xml:space="preserve">A.1) </w:t>
      </w:r>
      <w:r>
        <w:rPr>
          <w:rFonts w:ascii="Times New Roman" w:hAnsi="Times New Roman"/>
          <w:sz w:val="24"/>
        </w:rPr>
        <w:tab/>
        <w:t>Összesen</w:t>
      </w:r>
    </w:p>
    <w:p w14:paraId="17E353AE" w14:textId="4D7B9170"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A.2)</w:t>
      </w:r>
      <w:r>
        <w:rPr>
          <w:rFonts w:ascii="Times New Roman" w:hAnsi="Times New Roman"/>
          <w:sz w:val="24"/>
        </w:rPr>
        <w:tab/>
        <w:t xml:space="preserve">Központi bankok és központi kormányzatok </w:t>
      </w:r>
    </w:p>
    <w:p w14:paraId="070E0717" w14:textId="77777777"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lastRenderedPageBreak/>
        <w:t>(Az 575/2013/EU rendelet 147. cikke (2) bekezdésének a) pontja)</w:t>
      </w:r>
    </w:p>
    <w:p w14:paraId="4032BEC5" w14:textId="47D8D1A7"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A.3)</w:t>
      </w:r>
      <w:r>
        <w:rPr>
          <w:rFonts w:ascii="Times New Roman" w:hAnsi="Times New Roman"/>
          <w:sz w:val="24"/>
        </w:rPr>
        <w:tab/>
        <w:t xml:space="preserve">Regionális kormányzatok vagy helyi hatóságok </w:t>
      </w:r>
    </w:p>
    <w:p w14:paraId="75CD54FE" w14:textId="4B4A74E8"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(Az 575/2013/EU rendelet 147. cikke (2) bekezdése aa) pontjának i. alpontja)</w:t>
      </w:r>
    </w:p>
    <w:p w14:paraId="614294C6" w14:textId="59A93607"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A.4)</w:t>
      </w:r>
      <w:r>
        <w:rPr>
          <w:rFonts w:ascii="Times New Roman" w:hAnsi="Times New Roman"/>
          <w:sz w:val="24"/>
        </w:rPr>
        <w:tab/>
        <w:t>Közszektorbeli intézmények</w:t>
      </w:r>
    </w:p>
    <w:p w14:paraId="52525D8D" w14:textId="056FDE6F"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(Az 575/2013/EU rendelet 147. cikke (2) bekezdése aa) pontjának ii. alpontja)</w:t>
      </w:r>
    </w:p>
    <w:p w14:paraId="3CDBBA19" w14:textId="3B656C48" w:rsidR="00FB3D09" w:rsidRPr="002A677E" w:rsidRDefault="006B0F8A" w:rsidP="00FB3D09">
      <w:pPr>
        <w:autoSpaceDE w:val="0"/>
        <w:autoSpaceDN w:val="0"/>
        <w:adjustRightInd w:val="0"/>
        <w:spacing w:before="0" w:after="0"/>
        <w:ind w:left="708"/>
        <w:rPr>
          <w:rFonts w:ascii="Times New Roman" w:hAnsi="Times New Roman"/>
          <w:sz w:val="24"/>
        </w:rPr>
      </w:pPr>
      <w:r>
        <w:rPr>
          <w:rFonts w:ascii="Times New Roman" w:hAnsi="Times New Roman"/>
          <w:sz w:val="24"/>
        </w:rPr>
        <w:t>A.5)</w:t>
      </w:r>
      <w:r>
        <w:rPr>
          <w:rFonts w:ascii="Times New Roman" w:hAnsi="Times New Roman"/>
          <w:sz w:val="24"/>
        </w:rPr>
        <w:tab/>
        <w:t>Intézmények</w:t>
      </w:r>
    </w:p>
    <w:p w14:paraId="5A2EE4F2" w14:textId="3CF7CB17" w:rsidR="00FB3D09" w:rsidRDefault="00FB3D09" w:rsidP="00E13BD0">
      <w:pPr>
        <w:autoSpaceDE w:val="0"/>
        <w:autoSpaceDN w:val="0"/>
        <w:adjustRightInd w:val="0"/>
        <w:spacing w:before="0" w:after="0"/>
        <w:ind w:left="1416" w:firstLine="12"/>
        <w:jc w:val="left"/>
        <w:rPr>
          <w:rFonts w:ascii="Times New Roman" w:hAnsi="Times New Roman"/>
          <w:sz w:val="24"/>
        </w:rPr>
      </w:pPr>
      <w:r>
        <w:rPr>
          <w:rFonts w:ascii="Times New Roman" w:hAnsi="Times New Roman"/>
          <w:sz w:val="24"/>
        </w:rPr>
        <w:t>(Az 575/2013/EU rendelet 147. cikke (2) bekezdésének b) pontja)</w:t>
      </w:r>
    </w:p>
    <w:p w14:paraId="5411EBAF" w14:textId="1E5C1A05"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A.6.1)</w:t>
      </w:r>
      <w:r>
        <w:rPr>
          <w:rFonts w:ascii="Times New Roman" w:hAnsi="Times New Roman"/>
          <w:sz w:val="24"/>
        </w:rPr>
        <w:tab/>
        <w:t>Vállalkozások – speciális hitelezés</w:t>
      </w:r>
    </w:p>
    <w:p w14:paraId="4E8B7543" w14:textId="4E5EF733"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(Az 575/2013/EU rendelet 147. cikke (2) bekezdése c) pontjának ii. alpontja)</w:t>
      </w:r>
    </w:p>
    <w:p w14:paraId="571E5944" w14:textId="28012B61"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A.6.2) Vállalkozások – vásárolt követelések</w:t>
      </w:r>
    </w:p>
    <w:p w14:paraId="1A7D2649" w14:textId="4FE9E262" w:rsidR="00E13BD0" w:rsidRDefault="00FB3D09" w:rsidP="00EF2302">
      <w:pPr>
        <w:autoSpaceDE w:val="0"/>
        <w:autoSpaceDN w:val="0"/>
        <w:adjustRightInd w:val="0"/>
        <w:spacing w:before="0" w:after="0"/>
        <w:ind w:left="720" w:firstLine="720"/>
        <w:jc w:val="left"/>
        <w:rPr>
          <w:rFonts w:ascii="Times New Roman" w:hAnsi="Times New Roman"/>
          <w:sz w:val="24"/>
        </w:rPr>
      </w:pPr>
      <w:r>
        <w:rPr>
          <w:rFonts w:ascii="Times New Roman" w:hAnsi="Times New Roman"/>
          <w:sz w:val="24"/>
        </w:rPr>
        <w:t>(Az 575/2013/EU rendelet 147. cikke (2) bekezdése c) pontjának iii. alpontja)</w:t>
      </w:r>
    </w:p>
    <w:p w14:paraId="77FF0C8B" w14:textId="0F260419" w:rsidR="00FB3D09" w:rsidRPr="002A677E" w:rsidRDefault="006B0F8A" w:rsidP="00E13BD0">
      <w:pPr>
        <w:autoSpaceDE w:val="0"/>
        <w:autoSpaceDN w:val="0"/>
        <w:adjustRightInd w:val="0"/>
        <w:spacing w:before="0" w:after="0"/>
        <w:ind w:left="720"/>
        <w:jc w:val="left"/>
        <w:rPr>
          <w:rFonts w:ascii="Times New Roman" w:hAnsi="Times New Roman"/>
          <w:sz w:val="24"/>
        </w:rPr>
      </w:pPr>
      <w:r>
        <w:rPr>
          <w:rFonts w:ascii="Times New Roman" w:hAnsi="Times New Roman"/>
          <w:sz w:val="24"/>
        </w:rPr>
        <w:t>A.6.3)</w:t>
      </w:r>
      <w:r>
        <w:tab/>
      </w:r>
      <w:r>
        <w:rPr>
          <w:rFonts w:ascii="Times New Roman" w:hAnsi="Times New Roman"/>
          <w:sz w:val="24"/>
        </w:rPr>
        <w:t xml:space="preserve">Vállalkozások – egyéb </w:t>
      </w:r>
    </w:p>
    <w:p w14:paraId="0E912CCE" w14:textId="24911A15"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(Az 575/2013/EU rendelet 147. cikke (2) bekezdése c) pontjának i. alpontja)</w:t>
      </w:r>
    </w:p>
    <w:p w14:paraId="486BF9E6" w14:textId="1FC1D76C" w:rsidR="0029349B" w:rsidRPr="00874942" w:rsidRDefault="0029349B" w:rsidP="0029349B">
      <w:pPr>
        <w:autoSpaceDE w:val="0"/>
        <w:autoSpaceDN w:val="0"/>
        <w:adjustRightInd w:val="0"/>
        <w:spacing w:before="0" w:after="0"/>
        <w:ind w:left="708"/>
        <w:jc w:val="left"/>
        <w:rPr>
          <w:rFonts w:ascii="Times New Roman" w:hAnsi="Times New Roman"/>
          <w:sz w:val="24"/>
        </w:rPr>
      </w:pPr>
      <w:r>
        <w:rPr>
          <w:rFonts w:ascii="Times New Roman" w:hAnsi="Times New Roman"/>
          <w:sz w:val="24"/>
        </w:rPr>
        <w:t>A.6.4) Tájékoztató adat: Vállalkozások – nagyvállalatok</w:t>
      </w:r>
    </w:p>
    <w:p w14:paraId="715EBD40" w14:textId="150CC2BB" w:rsidR="0029349B" w:rsidRDefault="0029349B" w:rsidP="0029349B">
      <w:pPr>
        <w:pStyle w:val="ListParagraph"/>
        <w:autoSpaceDE w:val="0"/>
        <w:autoSpaceDN w:val="0"/>
        <w:adjustRightInd w:val="0"/>
        <w:spacing w:before="0" w:after="0"/>
        <w:ind w:left="1440"/>
        <w:jc w:val="left"/>
        <w:rPr>
          <w:rFonts w:ascii="Times New Roman" w:hAnsi="Times New Roman"/>
          <w:sz w:val="24"/>
        </w:rPr>
      </w:pPr>
      <w:r>
        <w:rPr>
          <w:rFonts w:ascii="Times New Roman" w:hAnsi="Times New Roman"/>
          <w:sz w:val="24"/>
        </w:rPr>
        <w:t>(Az 575/2013/EU rendelet 147. cikke (2) bekezdésének c) pontja, az 575/2013/EU rendelet 142. cikkének (1) bekezdése az 5a. ponttal összefüggésben értelmezve)</w:t>
      </w:r>
    </w:p>
    <w:p w14:paraId="5A8F3224" w14:textId="4866743F" w:rsidR="0029349B" w:rsidRPr="00874942" w:rsidRDefault="0029349B" w:rsidP="0029349B">
      <w:pPr>
        <w:autoSpaceDE w:val="0"/>
        <w:autoSpaceDN w:val="0"/>
        <w:adjustRightInd w:val="0"/>
        <w:spacing w:before="0" w:after="0"/>
        <w:ind w:left="708"/>
        <w:jc w:val="left"/>
        <w:rPr>
          <w:rFonts w:ascii="Times New Roman" w:hAnsi="Times New Roman"/>
          <w:sz w:val="24"/>
        </w:rPr>
      </w:pPr>
      <w:r>
        <w:rPr>
          <w:rFonts w:ascii="Times New Roman" w:hAnsi="Times New Roman"/>
          <w:sz w:val="24"/>
        </w:rPr>
        <w:t>A.6.5) Tájékoztató adat: Vállalkozások – kkv</w:t>
      </w:r>
    </w:p>
    <w:p w14:paraId="42836C84" w14:textId="124ED090" w:rsidR="0029349B" w:rsidRPr="00EF2302" w:rsidRDefault="0029349B" w:rsidP="00126E51">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(Az 575/2013/EU rendelet 147. cikke (2) bekezdésének I) pontja, az 575/2013/EU rendelet 5. cikkének 8. pontjával összefüggésben értelmezve)</w:t>
      </w:r>
    </w:p>
    <w:p w14:paraId="23564959" w14:textId="77777777" w:rsidR="00B949C3" w:rsidRDefault="00B949C3" w:rsidP="00FB3D09">
      <w:pPr>
        <w:autoSpaceDE w:val="0"/>
        <w:autoSpaceDN w:val="0"/>
        <w:adjustRightInd w:val="0"/>
        <w:spacing w:before="0" w:after="0"/>
        <w:ind w:left="1428"/>
        <w:jc w:val="left"/>
        <w:rPr>
          <w:rFonts w:ascii="Times New Roman" w:hAnsi="Times New Roman"/>
          <w:sz w:val="24"/>
          <w:lang w:eastAsia="de-DE"/>
        </w:rPr>
      </w:pPr>
    </w:p>
    <w:p w14:paraId="52CFD6D7" w14:textId="11403070" w:rsidR="00B949C3" w:rsidRPr="00126E51" w:rsidRDefault="006013AC" w:rsidP="003C2423">
      <w:pPr>
        <w:autoSpaceDE w:val="0"/>
        <w:autoSpaceDN w:val="0"/>
        <w:adjustRightInd w:val="0"/>
        <w:spacing w:before="0" w:after="0"/>
        <w:ind w:left="709"/>
        <w:jc w:val="left"/>
        <w:rPr>
          <w:rFonts w:ascii="Times New Roman" w:hAnsi="Times New Roman"/>
          <w:sz w:val="24"/>
          <w:u w:val="single"/>
        </w:rPr>
      </w:pPr>
      <w:r>
        <w:rPr>
          <w:rFonts w:ascii="Times New Roman" w:hAnsi="Times New Roman"/>
          <w:sz w:val="24"/>
          <w:u w:val="single"/>
        </w:rPr>
        <w:t>B) IRB módszer a nemteljesítéskori veszteségrátára (LGD) vonatkozó saját becslés és/vagy hitel-egyenértékesítési tényezők (CCF) alkalmazásakor</w:t>
      </w:r>
    </w:p>
    <w:p w14:paraId="31E1DC0E" w14:textId="5BBBD0A6" w:rsidR="006013AC" w:rsidRPr="00CF47EA"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 xml:space="preserve">B.1) </w:t>
      </w:r>
      <w:r>
        <w:rPr>
          <w:rFonts w:ascii="Times New Roman" w:hAnsi="Times New Roman"/>
          <w:sz w:val="24"/>
        </w:rPr>
        <w:tab/>
        <w:t>Összesen</w:t>
      </w:r>
    </w:p>
    <w:p w14:paraId="2607EE3C" w14:textId="4BBA570A"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B.2)</w:t>
      </w:r>
      <w:r>
        <w:rPr>
          <w:rFonts w:ascii="Times New Roman" w:hAnsi="Times New Roman"/>
          <w:sz w:val="24"/>
        </w:rPr>
        <w:tab/>
        <w:t xml:space="preserve">Központi bankok és központi kormányzatok </w:t>
      </w:r>
    </w:p>
    <w:p w14:paraId="194B4B2A" w14:textId="77777777" w:rsidR="006013AC"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(Az 575/2013/EU rendelet 147. cikke (2) bekezdésének a) pontja)</w:t>
      </w:r>
    </w:p>
    <w:p w14:paraId="788F5C27" w14:textId="060EA0B3"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B.3)</w:t>
      </w:r>
      <w:r>
        <w:rPr>
          <w:rFonts w:ascii="Times New Roman" w:hAnsi="Times New Roman"/>
          <w:sz w:val="24"/>
        </w:rPr>
        <w:tab/>
        <w:t xml:space="preserve">Regionális kormányzatok vagy helyi hatóságok </w:t>
      </w:r>
    </w:p>
    <w:p w14:paraId="2ECF3277" w14:textId="77777777" w:rsidR="006013AC" w:rsidRPr="002A677E"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(Az 575/2013/EU rendelet 147. cikke (2) bekezdése aa) pontjának i. alpontja)</w:t>
      </w:r>
    </w:p>
    <w:p w14:paraId="5DCFC117" w14:textId="4B8AA294"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B.4)</w:t>
      </w:r>
      <w:r>
        <w:rPr>
          <w:rFonts w:ascii="Times New Roman" w:hAnsi="Times New Roman"/>
          <w:sz w:val="24"/>
        </w:rPr>
        <w:tab/>
        <w:t>Közszektorbeli intézmények</w:t>
      </w:r>
    </w:p>
    <w:p w14:paraId="062F8299" w14:textId="77777777" w:rsidR="006013AC" w:rsidRPr="002A677E"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(Az 575/2013/EU rendelet 147. cikke (2) bekezdése aa) pontjának ii. alpontja)</w:t>
      </w:r>
    </w:p>
    <w:p w14:paraId="698D8E50" w14:textId="3BD81666"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B.5.1)</w:t>
      </w:r>
      <w:r>
        <w:rPr>
          <w:rFonts w:ascii="Times New Roman" w:hAnsi="Times New Roman"/>
          <w:sz w:val="24"/>
        </w:rPr>
        <w:tab/>
        <w:t>Vállalkozások – speciális hitelezés</w:t>
      </w:r>
    </w:p>
    <w:p w14:paraId="7699809B" w14:textId="4B162F04" w:rsidR="006013AC"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(Az 575/2013/EU rendelet 147. cikke (2) bekezdése I) pontjának ii. alpontja)</w:t>
      </w:r>
    </w:p>
    <w:p w14:paraId="79E7A993" w14:textId="0A3A70E1"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B.5.2) Vállalkozások – vásárolt követelések</w:t>
      </w:r>
    </w:p>
    <w:p w14:paraId="47616290" w14:textId="5372C532" w:rsidR="006013AC" w:rsidRDefault="006013AC" w:rsidP="006013AC">
      <w:pPr>
        <w:autoSpaceDE w:val="0"/>
        <w:autoSpaceDN w:val="0"/>
        <w:adjustRightInd w:val="0"/>
        <w:spacing w:before="0" w:after="0"/>
        <w:ind w:left="720" w:firstLine="720"/>
        <w:jc w:val="left"/>
        <w:rPr>
          <w:rFonts w:ascii="Times New Roman" w:hAnsi="Times New Roman"/>
          <w:sz w:val="24"/>
        </w:rPr>
      </w:pPr>
      <w:r>
        <w:rPr>
          <w:rFonts w:ascii="Times New Roman" w:hAnsi="Times New Roman"/>
          <w:sz w:val="24"/>
        </w:rPr>
        <w:t>(Az 575/2013/EU rendelet 147. cikke (2) bekezdése I) pontjának iii. alpontja)</w:t>
      </w:r>
    </w:p>
    <w:p w14:paraId="7E0F1962" w14:textId="1EC228E7" w:rsidR="006013AC" w:rsidRPr="002A677E" w:rsidRDefault="009D125A" w:rsidP="006013AC">
      <w:pPr>
        <w:autoSpaceDE w:val="0"/>
        <w:autoSpaceDN w:val="0"/>
        <w:adjustRightInd w:val="0"/>
        <w:spacing w:before="0" w:after="0"/>
        <w:ind w:left="720"/>
        <w:jc w:val="left"/>
        <w:rPr>
          <w:rFonts w:ascii="Times New Roman" w:hAnsi="Times New Roman"/>
          <w:sz w:val="24"/>
        </w:rPr>
      </w:pPr>
      <w:r>
        <w:rPr>
          <w:rFonts w:ascii="Times New Roman" w:hAnsi="Times New Roman"/>
          <w:sz w:val="24"/>
        </w:rPr>
        <w:t>B.5.3)</w:t>
      </w:r>
      <w:r>
        <w:tab/>
      </w:r>
      <w:r>
        <w:rPr>
          <w:rFonts w:ascii="Times New Roman" w:hAnsi="Times New Roman"/>
          <w:sz w:val="24"/>
        </w:rPr>
        <w:t xml:space="preserve">Vállalkozások – egyéb </w:t>
      </w:r>
    </w:p>
    <w:p w14:paraId="7C24044A" w14:textId="31456617" w:rsidR="00CD1BFF" w:rsidRDefault="006013AC" w:rsidP="009D125A">
      <w:pPr>
        <w:autoSpaceDE w:val="0"/>
        <w:autoSpaceDN w:val="0"/>
        <w:adjustRightInd w:val="0"/>
        <w:spacing w:before="0" w:after="0"/>
        <w:ind w:left="1428"/>
        <w:jc w:val="left"/>
        <w:rPr>
          <w:rFonts w:ascii="Times New Roman" w:hAnsi="Times New Roman"/>
          <w:sz w:val="24"/>
        </w:rPr>
      </w:pPr>
      <w:r>
        <w:rPr>
          <w:rFonts w:ascii="Times New Roman" w:hAnsi="Times New Roman"/>
          <w:sz w:val="24"/>
        </w:rPr>
        <w:t>(Az 575/2013/EU rendelet 147. cikke (2) bekezdése I) pontjának i. alpontja)</w:t>
      </w:r>
    </w:p>
    <w:p w14:paraId="0D9A4B56" w14:textId="3B70C431" w:rsidR="008A3C6B" w:rsidRPr="00CF47EA" w:rsidRDefault="008A3C6B" w:rsidP="008A3C6B">
      <w:pPr>
        <w:autoSpaceDE w:val="0"/>
        <w:autoSpaceDN w:val="0"/>
        <w:adjustRightInd w:val="0"/>
        <w:spacing w:before="0" w:after="0"/>
        <w:ind w:left="708"/>
        <w:jc w:val="left"/>
        <w:rPr>
          <w:rFonts w:ascii="Times New Roman" w:hAnsi="Times New Roman"/>
          <w:sz w:val="24"/>
        </w:rPr>
      </w:pPr>
      <w:r>
        <w:rPr>
          <w:rFonts w:ascii="Times New Roman" w:hAnsi="Times New Roman"/>
          <w:sz w:val="24"/>
        </w:rPr>
        <w:t>B.5.4) Tájékoztató adat: Vállalkozások – nagyvállalatok</w:t>
      </w:r>
    </w:p>
    <w:p w14:paraId="7348E5D3" w14:textId="77777777" w:rsidR="008A3C6B" w:rsidRDefault="008A3C6B" w:rsidP="008A3C6B">
      <w:pPr>
        <w:pStyle w:val="ListParagraph"/>
        <w:autoSpaceDE w:val="0"/>
        <w:autoSpaceDN w:val="0"/>
        <w:adjustRightInd w:val="0"/>
        <w:spacing w:before="0" w:after="0"/>
        <w:ind w:left="1440"/>
        <w:jc w:val="left"/>
        <w:rPr>
          <w:rFonts w:ascii="Times New Roman" w:hAnsi="Times New Roman"/>
          <w:sz w:val="24"/>
        </w:rPr>
      </w:pPr>
      <w:r>
        <w:rPr>
          <w:rFonts w:ascii="Times New Roman" w:hAnsi="Times New Roman"/>
          <w:sz w:val="24"/>
        </w:rPr>
        <w:t>(Az 575/2013/EU rendelet 147. cikke (2) bekezdésének c) pontja, az 575/2013/EU rendelet 142. cikkének (1) bekezdése az 5a. ponttal összefüggésben értelmezve)</w:t>
      </w:r>
    </w:p>
    <w:p w14:paraId="4EA5C9B6" w14:textId="568BE150" w:rsidR="008A3C6B" w:rsidRPr="00CF47EA" w:rsidRDefault="008A3C6B" w:rsidP="008A3C6B">
      <w:pPr>
        <w:autoSpaceDE w:val="0"/>
        <w:autoSpaceDN w:val="0"/>
        <w:adjustRightInd w:val="0"/>
        <w:spacing w:before="0" w:after="0"/>
        <w:ind w:left="708"/>
        <w:jc w:val="left"/>
        <w:rPr>
          <w:rFonts w:ascii="Times New Roman" w:hAnsi="Times New Roman"/>
          <w:sz w:val="24"/>
        </w:rPr>
      </w:pPr>
      <w:r>
        <w:rPr>
          <w:rFonts w:ascii="Times New Roman" w:hAnsi="Times New Roman"/>
          <w:sz w:val="24"/>
        </w:rPr>
        <w:t>B.5.6) Tájékoztató adat: Vállalkozások – kkv</w:t>
      </w:r>
    </w:p>
    <w:p w14:paraId="327F10F1" w14:textId="086997C1" w:rsidR="008A3C6B" w:rsidRDefault="008A3C6B" w:rsidP="008A3C6B">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(Az 575/2013/EU rendelet 147. cikke (2) bekezdésének c) pontja, az 575/2013/EU rendelet 5. cikkének 8. pontjával összefüggésben értelmezve)</w:t>
      </w:r>
    </w:p>
    <w:p w14:paraId="72709B7F" w14:textId="0A3CA0B0" w:rsidR="00FB3D09" w:rsidRPr="002A677E" w:rsidRDefault="009D125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B.6.1)</w:t>
      </w:r>
      <w:r>
        <w:rPr>
          <w:rFonts w:ascii="Times New Roman" w:hAnsi="Times New Roman"/>
          <w:sz w:val="24"/>
        </w:rPr>
        <w:tab/>
        <w:t xml:space="preserve">Lakossági – lakóingatlannal fedezett </w:t>
      </w:r>
    </w:p>
    <w:p w14:paraId="650A4DF9" w14:textId="69386974"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(Az 575/2013/EU rendelet 147. cikke (2) bekezdése d) pontjának ii. alpontjában említett lakossággal szembeni kitettségek</w:t>
      </w:r>
    </w:p>
    <w:p w14:paraId="2ECC4965" w14:textId="776EA69B" w:rsidR="00A54B9F" w:rsidRDefault="000C3D68" w:rsidP="00E13BD0">
      <w:pPr>
        <w:autoSpaceDE w:val="0"/>
        <w:autoSpaceDN w:val="0"/>
        <w:adjustRightInd w:val="0"/>
        <w:spacing w:before="0" w:after="0"/>
        <w:ind w:left="1428"/>
        <w:jc w:val="left"/>
        <w:rPr>
          <w:rFonts w:ascii="Times New Roman" w:hAnsi="Times New Roman"/>
          <w:sz w:val="24"/>
        </w:rPr>
      </w:pPr>
      <w:r>
        <w:rPr>
          <w:rFonts w:ascii="Times New Roman" w:hAnsi="Times New Roman"/>
          <w:sz w:val="24"/>
        </w:rPr>
        <w:t>Ebben a kategóriában.</w:t>
      </w:r>
    </w:p>
    <w:p w14:paraId="4F591501" w14:textId="3C2A575C" w:rsidR="00FB3D09" w:rsidRPr="002A677E" w:rsidRDefault="009D125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B.6.2)</w:t>
      </w:r>
      <w:r>
        <w:rPr>
          <w:rFonts w:ascii="Times New Roman" w:hAnsi="Times New Roman"/>
          <w:sz w:val="24"/>
        </w:rPr>
        <w:tab/>
        <w:t>Lakossági – a rulírozó állományba beszámítható</w:t>
      </w:r>
    </w:p>
    <w:p w14:paraId="2787B7FB" w14:textId="77777777"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lastRenderedPageBreak/>
        <w:t xml:space="preserve">(Az 575/2013/EU rendelet 147. cikke (2) bekezdése d) pontjának i. alpontja szerinti, az említett rendelet 154. cikkének 4. pontjával összefüggésben értelmezett lakossággal szembeni kitettségek). </w:t>
      </w:r>
    </w:p>
    <w:p w14:paraId="1CA9F240" w14:textId="4E5B99F0" w:rsidR="00FB3D09" w:rsidRPr="002A677E" w:rsidRDefault="00DB50A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B6.3)</w:t>
      </w:r>
      <w:r>
        <w:rPr>
          <w:rFonts w:ascii="Times New Roman" w:hAnsi="Times New Roman"/>
          <w:sz w:val="24"/>
        </w:rPr>
        <w:tab/>
        <w:t>Lakossági – vásárolt követelések</w:t>
      </w:r>
    </w:p>
    <w:p w14:paraId="3EBF4177" w14:textId="77777777"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(Az 575/2013/EU rendelet 147. cikke (2) bekezdése d) pontjának iii. alpontjában említett lakossággal szembeni kitettségek). </w:t>
      </w:r>
    </w:p>
    <w:p w14:paraId="776A9653" w14:textId="274FCDDB" w:rsidR="00FB3D09" w:rsidRPr="002A677E" w:rsidRDefault="00DB50A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B.6.4)</w:t>
      </w:r>
      <w:r>
        <w:rPr>
          <w:rFonts w:ascii="Times New Roman" w:hAnsi="Times New Roman"/>
          <w:sz w:val="24"/>
        </w:rPr>
        <w:tab/>
        <w:t xml:space="preserve">Lakossági – egyéb </w:t>
      </w:r>
    </w:p>
    <w:p w14:paraId="1CBC5EF4" w14:textId="450212A6" w:rsidR="00F61AEB" w:rsidRDefault="00FB3D09" w:rsidP="00A54B9F">
      <w:pPr>
        <w:autoSpaceDE w:val="0"/>
        <w:autoSpaceDN w:val="0"/>
        <w:adjustRightInd w:val="0"/>
        <w:spacing w:before="0" w:after="0"/>
        <w:ind w:left="1428"/>
        <w:jc w:val="left"/>
        <w:rPr>
          <w:rFonts w:ascii="Times New Roman" w:hAnsi="Times New Roman"/>
          <w:sz w:val="24"/>
        </w:rPr>
      </w:pPr>
      <w:r>
        <w:rPr>
          <w:rFonts w:ascii="Times New Roman" w:hAnsi="Times New Roman"/>
          <w:sz w:val="24"/>
        </w:rPr>
        <w:t>(Az 575/2013/EU rendelet 147. cikke (2) bekezdése d) pontjának iv. alpontjában említett lakossággal szembeni kitettségek).</w:t>
      </w:r>
    </w:p>
    <w:p w14:paraId="0C697B9E" w14:textId="3DDAB287" w:rsidR="00F61AEB" w:rsidRPr="00CF47EA" w:rsidRDefault="00F61AEB" w:rsidP="00F61AEB">
      <w:pPr>
        <w:autoSpaceDE w:val="0"/>
        <w:autoSpaceDN w:val="0"/>
        <w:adjustRightInd w:val="0"/>
        <w:spacing w:before="0" w:after="0"/>
        <w:ind w:left="708"/>
        <w:jc w:val="left"/>
        <w:rPr>
          <w:rFonts w:ascii="Times New Roman" w:hAnsi="Times New Roman"/>
          <w:sz w:val="24"/>
        </w:rPr>
      </w:pPr>
      <w:r>
        <w:rPr>
          <w:rFonts w:ascii="Times New Roman" w:hAnsi="Times New Roman"/>
          <w:sz w:val="24"/>
        </w:rPr>
        <w:t>B.6.5) Tájékoztató adat: Lakossági – ingatlannal fedezett (kkv)</w:t>
      </w:r>
    </w:p>
    <w:p w14:paraId="45B80CE1" w14:textId="6E9AC07A" w:rsidR="00F61AEB" w:rsidRDefault="00F61AEB" w:rsidP="00F61AEB">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(Az 575/2013/EU rendelet 147. cikke (2) bekezdésének d) pontja szerinti, a B.6.1–B.6.4. szakaszban jelentett és az 575/2013/EU rendelet 5. cikkének 8. pontjával összefüggésben értelmezett lakossággal szembeni kitettségek, amelyek az 575/2013/EU rendelet 4. cikke (1) bekezdésének 75f. pontja d) pont szerinti ingatlannal fedezettek)</w:t>
      </w:r>
    </w:p>
    <w:p w14:paraId="40D2DB38" w14:textId="4857D4AC" w:rsidR="00F61AEB" w:rsidRPr="00CF47EA" w:rsidRDefault="00F61AEB" w:rsidP="00F61AEB">
      <w:pPr>
        <w:autoSpaceDE w:val="0"/>
        <w:autoSpaceDN w:val="0"/>
        <w:adjustRightInd w:val="0"/>
        <w:spacing w:before="0" w:after="0"/>
        <w:ind w:left="708"/>
        <w:jc w:val="left"/>
        <w:rPr>
          <w:rFonts w:ascii="Times New Roman" w:hAnsi="Times New Roman"/>
          <w:sz w:val="24"/>
        </w:rPr>
      </w:pPr>
      <w:r>
        <w:rPr>
          <w:rFonts w:ascii="Times New Roman" w:hAnsi="Times New Roman"/>
          <w:sz w:val="24"/>
        </w:rPr>
        <w:t>B.6.6) Tájékoztató adat: Lakossági – ingatlannal fedezett (nem kkv)</w:t>
      </w:r>
    </w:p>
    <w:p w14:paraId="7430D81F" w14:textId="3488EF28" w:rsidR="00F61AEB" w:rsidRDefault="00F61AEB" w:rsidP="00F61AEB">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(Az 575/2013/EU rendelet 147. cikke (2) bekezdésének d) pontja szerinti, a B.6.1–B.6.4. szakaszban jelentett és nem az 575/2013/EU rendelet 5. cikkének 8. pontjával összefüggésben értelmezett lakossággal szembeni kitettségek, amelyek az 575/2013/EU rendelet 4. cikke (1) bekezdésének 75f. pontja d) pont szerinti ingatlannal fedezettek)</w:t>
      </w:r>
    </w:p>
    <w:p w14:paraId="0EB53292" w14:textId="6168F897" w:rsidR="00F37042" w:rsidRPr="00CF47EA" w:rsidRDefault="00F37042" w:rsidP="00F37042">
      <w:pPr>
        <w:autoSpaceDE w:val="0"/>
        <w:autoSpaceDN w:val="0"/>
        <w:adjustRightInd w:val="0"/>
        <w:spacing w:before="0" w:after="0"/>
        <w:ind w:left="708"/>
        <w:jc w:val="left"/>
        <w:rPr>
          <w:rFonts w:ascii="Times New Roman" w:hAnsi="Times New Roman"/>
          <w:sz w:val="24"/>
        </w:rPr>
      </w:pPr>
      <w:r>
        <w:rPr>
          <w:rFonts w:ascii="Times New Roman" w:hAnsi="Times New Roman"/>
          <w:sz w:val="24"/>
        </w:rPr>
        <w:t>B.6.7) Tájékoztató adat: Lakossági – egyéb kkv</w:t>
      </w:r>
    </w:p>
    <w:p w14:paraId="5861C1A9" w14:textId="50C55B82" w:rsidR="00F37042" w:rsidRDefault="00F37042" w:rsidP="00F37042">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(Az 575/2013/EU rendelet 147. cikke (2) bekezdése d) pontjának iv. alpontjában említett, a B.6.5 és B.6.6 szakaszban nem jelentett és az 575/2013/EU rendelet 5. cikkének 8. pontjával összefüggésben értelmezett lakossággal szembeni kitettségek)</w:t>
      </w:r>
    </w:p>
    <w:p w14:paraId="394F5A32" w14:textId="4E70921A" w:rsidR="00F37042" w:rsidRPr="00CF47EA" w:rsidRDefault="00F37042" w:rsidP="00F37042">
      <w:pPr>
        <w:autoSpaceDE w:val="0"/>
        <w:autoSpaceDN w:val="0"/>
        <w:adjustRightInd w:val="0"/>
        <w:spacing w:before="0" w:after="0"/>
        <w:ind w:left="708"/>
        <w:jc w:val="left"/>
        <w:rPr>
          <w:rFonts w:ascii="Times New Roman" w:hAnsi="Times New Roman"/>
          <w:sz w:val="24"/>
        </w:rPr>
      </w:pPr>
      <w:r>
        <w:rPr>
          <w:rFonts w:ascii="Times New Roman" w:hAnsi="Times New Roman"/>
          <w:sz w:val="24"/>
        </w:rPr>
        <w:t>B.6.8) Tájékoztató adat: Lakossági – egyéb nem kkv</w:t>
      </w:r>
    </w:p>
    <w:p w14:paraId="75B56F15" w14:textId="6EAC1815" w:rsidR="00F37042" w:rsidRPr="00126E51" w:rsidRDefault="00F37042" w:rsidP="00F37042">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(Az 575/2013/EU rendelet 147. cikke (2) bekezdése d) pontjának iv. alpontjában említett, a B.6.5 és B.6.6 szakaszban nem jelentett és nem az 575/2013/EU rendelet 5. cikkének 8. pontjával összefüggésben értelmezett lakossággal szembeni kitettségek)</w:t>
      </w:r>
    </w:p>
    <w:p w14:paraId="31C5A22B" w14:textId="61C91BE4" w:rsidR="00FB3D09" w:rsidRPr="002A677E" w:rsidRDefault="00DB50AA" w:rsidP="00E13BD0">
      <w:pPr>
        <w:pStyle w:val="ListParagraph1"/>
        <w:autoSpaceDE w:val="0"/>
        <w:autoSpaceDN w:val="0"/>
        <w:adjustRightInd w:val="0"/>
        <w:spacing w:before="0" w:after="0"/>
        <w:ind w:left="0" w:firstLine="720"/>
        <w:jc w:val="left"/>
        <w:rPr>
          <w:rFonts w:ascii="Times New Roman" w:hAnsi="Times New Roman"/>
          <w:sz w:val="24"/>
        </w:rPr>
      </w:pPr>
      <w:r>
        <w:rPr>
          <w:rFonts w:ascii="Times New Roman" w:hAnsi="Times New Roman"/>
          <w:sz w:val="24"/>
        </w:rPr>
        <w:t>B.7)</w:t>
      </w:r>
      <w:r>
        <w:rPr>
          <w:rFonts w:ascii="Times New Roman" w:hAnsi="Times New Roman"/>
          <w:sz w:val="24"/>
        </w:rPr>
        <w:tab/>
        <w:t>Kollektív befektetési formák (KBF)</w:t>
      </w:r>
    </w:p>
    <w:p w14:paraId="46A3FB56" w14:textId="38464F9F" w:rsidR="00FB3D09" w:rsidDel="00C72B5D" w:rsidRDefault="00FB3D09" w:rsidP="00126E51">
      <w:pPr>
        <w:autoSpaceDE w:val="0"/>
        <w:autoSpaceDN w:val="0"/>
        <w:adjustRightInd w:val="0"/>
        <w:spacing w:before="0" w:after="0"/>
        <w:ind w:left="1416"/>
        <w:jc w:val="left"/>
        <w:rPr>
          <w:rFonts w:ascii="Times New Roman" w:hAnsi="Times New Roman"/>
          <w:sz w:val="24"/>
        </w:rPr>
      </w:pPr>
      <w:r>
        <w:rPr>
          <w:rFonts w:ascii="Times New Roman" w:hAnsi="Times New Roman"/>
          <w:sz w:val="24"/>
        </w:rPr>
        <w:t>Az 575/2013/EU rendelet 147. cikke (2) bekezdésének ea) pontjában említett, kollektív befektetési formák (KBF-ek) befektetési jegyeinek vagy részvényeinek formájában fennálló kitettségek</w:t>
      </w:r>
    </w:p>
    <w:p w14:paraId="1BEDE351" w14:textId="77777777" w:rsidR="00FB3D09" w:rsidRDefault="00FB3D09" w:rsidP="00FB3D09">
      <w:pPr>
        <w:spacing w:before="0" w:after="0"/>
        <w:ind w:left="709"/>
        <w:jc w:val="left"/>
        <w:rPr>
          <w:rFonts w:ascii="Times New Roman" w:hAnsi="Times New Roman"/>
          <w:sz w:val="24"/>
          <w:lang w:eastAsia="de-DE"/>
        </w:rPr>
      </w:pPr>
    </w:p>
    <w:p w14:paraId="677C9432" w14:textId="62D96D61" w:rsidR="00FB3D09" w:rsidRDefault="00FB3D09" w:rsidP="00FB3D09">
      <w:pPr>
        <w:spacing w:before="0" w:after="240"/>
        <w:jc w:val="left"/>
        <w:rPr>
          <w:rFonts w:ascii="Times New Roman" w:hAnsi="Times New Roman"/>
          <w:sz w:val="24"/>
        </w:rPr>
      </w:pPr>
      <w:r>
        <w:rPr>
          <w:rFonts w:ascii="Times New Roman" w:hAnsi="Times New Roman"/>
          <w:sz w:val="24"/>
        </w:rPr>
        <w:t xml:space="preserve">3.3.2a. Az 575/2013/EU rendelet 147. cikkében említett egyes kitettségi osztályok alkalmazási körének magyarázata </w:t>
      </w:r>
    </w:p>
    <w:p w14:paraId="314E3D92" w14:textId="4C97F668" w:rsidR="00FB3D09" w:rsidRDefault="00FB3D09" w:rsidP="00FB3D09">
      <w:pPr>
        <w:spacing w:before="0" w:after="240"/>
        <w:jc w:val="left"/>
        <w:rPr>
          <w:rFonts w:ascii="Times New Roman" w:hAnsi="Times New Roman"/>
          <w:sz w:val="24"/>
        </w:rPr>
      </w:pPr>
      <w:r>
        <w:rPr>
          <w:rFonts w:ascii="Times New Roman" w:hAnsi="Times New Roman"/>
          <w:sz w:val="24"/>
        </w:rPr>
        <w:t>3.3.2a.1 A „kollektív befektetési formák” kitettségi osztály</w:t>
      </w:r>
    </w:p>
    <w:p w14:paraId="219CEA19" w14:textId="7C695821" w:rsidR="00FB3D09" w:rsidRDefault="00FB3D09" w:rsidP="00126E51">
      <w:pPr>
        <w:spacing w:before="0" w:after="240"/>
        <w:rPr>
          <w:rFonts w:ascii="Times New Roman" w:hAnsi="Times New Roman"/>
          <w:sz w:val="24"/>
        </w:rPr>
      </w:pPr>
      <w:r>
        <w:rPr>
          <w:rFonts w:ascii="Times New Roman" w:hAnsi="Times New Roman"/>
          <w:sz w:val="24"/>
        </w:rPr>
        <w:t>76a. A kollektív befektetési formák befektetési jegyeinek vagy részvényeinek formájában fennálló összes olyan egyedi kitettséget, amelyre a közvetlen vizsgálati módszert (áttekintés elve) vagy a megbízatáson alapuló módszert (az 575/2013/EU rendelet 152. cikkének (1) és (5) bekezdése) alkalmazzák, valamint a tartalékmódszer alá tartozó kitettségeket a kollektív befektetési formák (KBF-ek) befektetési jegyei vagy részvényei formájában fennálló kitettségek kitettségi osztályba kell besorolni és a TELJES KITETTSÉG MÓDSZER SZERINTI BONTÁSA (KBF) szakaszban kell feltüntetni.</w:t>
      </w:r>
    </w:p>
    <w:p w14:paraId="1BCD95AE" w14:textId="76EFAF4A" w:rsidR="00FB3D09" w:rsidRDefault="00FC2C95" w:rsidP="00126E51">
      <w:pPr>
        <w:spacing w:before="0" w:after="240"/>
        <w:rPr>
          <w:rFonts w:ascii="Times New Roman" w:hAnsi="Times New Roman"/>
          <w:sz w:val="24"/>
        </w:rPr>
      </w:pPr>
      <w:r>
        <w:rPr>
          <w:rFonts w:ascii="Times New Roman" w:hAnsi="Times New Roman"/>
          <w:sz w:val="24"/>
        </w:rPr>
        <w:lastRenderedPageBreak/>
        <w:t>76b. A közvetlen vizsgálati módszer (áttekintés elve) alkalmazása esetén (az 575/2013/EU rendelet 152. cikkének (1) bekezdése) az alapul szolgáló egyedi kitettségeket (a fent említett, KBF-ként való besorolás mellett) a megfelelő kitettségi osztályba besorolva a C 08.01 tábla 0190 sorában tájékoztató adatként is meg kell adni, hivatkozva az áttekintés elvére (az adott kitettségi osztály tekintetében).Ekképpen az alapul szolgáló egyedi kitettséget az áttekintés elve alkalmazásakor nem a megfelelő kitettségi osztály, hanem a KBF kitettségi osztály teljes kitettségében veszik figyelembe. Végül, ha egyes alapul szolgáló kitettségekre a sztenderd módszert alkalmazzák, ezeket a kitettségeket a CR SA táblában (C 07.00) a „Kollektív befektetési formák” kitettségi osztályban kell feltüntetni. Ebben a táblában csak azokat az alapul szolgáló kitettségeket kell feltüntetni, amelyek esetében a szavatolótőke-követelmény kiszámításához belső minősítésen alapuló módszert (IRB-módszert) alkalmaztak. Mindazonáltal a CR IRB táblán nem tüntethetők fel a következő alapul szolgáló kitettségek:</w:t>
      </w:r>
    </w:p>
    <w:p w14:paraId="38F3EA76" w14:textId="77777777" w:rsidR="00FB3D09" w:rsidRDefault="00FB3D09" w:rsidP="00FB3D09">
      <w:pPr>
        <w:pStyle w:val="InstructionsText2"/>
        <w:numPr>
          <w:ilvl w:val="0"/>
          <w:numId w:val="0"/>
        </w:numPr>
        <w:ind w:left="993"/>
      </w:pPr>
      <w:r>
        <w:t>i.</w:t>
      </w:r>
      <w:r>
        <w:tab/>
        <w:t xml:space="preserve">a CR EQU IRB táblán feltüntetett részvényjellegű kitettségek; </w:t>
      </w:r>
    </w:p>
    <w:p w14:paraId="007677D4" w14:textId="77777777" w:rsidR="00FB3D09" w:rsidRDefault="00FB3D09" w:rsidP="00FB3D09">
      <w:pPr>
        <w:pStyle w:val="InstructionsText2"/>
        <w:numPr>
          <w:ilvl w:val="0"/>
          <w:numId w:val="0"/>
        </w:numPr>
        <w:ind w:left="993"/>
      </w:pPr>
      <w:r>
        <w:t>ii.</w:t>
      </w:r>
      <w:r>
        <w:tab/>
        <w:t>a CR SEC és/vagy a CR SEC Details táblán feltüntetett értékpapírosítási pozíciók;</w:t>
      </w:r>
    </w:p>
    <w:p w14:paraId="3868B76C" w14:textId="77777777" w:rsidR="00FB3D09" w:rsidRPr="002A677E" w:rsidRDefault="00FB3D09" w:rsidP="00FB3D09">
      <w:pPr>
        <w:spacing w:before="0" w:after="240"/>
        <w:jc w:val="left"/>
        <w:rPr>
          <w:rFonts w:ascii="Times New Roman" w:hAnsi="Times New Roman"/>
          <w:sz w:val="24"/>
        </w:rPr>
      </w:pPr>
      <w:bookmarkStart w:id="11" w:name="_Toc473560909"/>
      <w:bookmarkStart w:id="12" w:name="_Toc239157380"/>
      <w:bookmarkStart w:id="13" w:name="_Toc262568038"/>
      <w:bookmarkStart w:id="14" w:name="_Toc264038436"/>
      <w:bookmarkStart w:id="15" w:name="_Toc295829866"/>
      <w:bookmarkStart w:id="16" w:name="_Toc308155143"/>
      <w:bookmarkStart w:id="17" w:name="_Toc310415030"/>
      <w:bookmarkStart w:id="18" w:name="_Toc360188360"/>
      <w:r>
        <w:rPr>
          <w:rFonts w:ascii="Times New Roman" w:hAnsi="Times New Roman"/>
          <w:sz w:val="24"/>
        </w:rPr>
        <w:t>3.3.3.</w:t>
      </w:r>
      <w:r>
        <w:rPr>
          <w:rFonts w:ascii="Times New Roman" w:hAnsi="Times New Roman"/>
          <w:sz w:val="24"/>
        </w:rPr>
        <w:tab/>
        <w:t>C 08.01 – Hitelkockázat, partnerkockázat és nyitva szállítások: IRB-módszer szerinti tőkekövetelmény (CR IRB 1)</w:t>
      </w:r>
      <w:bookmarkEnd w:id="11"/>
    </w:p>
    <w:p w14:paraId="24516C06" w14:textId="77777777" w:rsidR="00FB3D09" w:rsidRPr="002A677E" w:rsidRDefault="00FB3D09" w:rsidP="00FB3D09">
      <w:pPr>
        <w:pStyle w:val="Instructionsberschrift2"/>
        <w:numPr>
          <w:ilvl w:val="0"/>
          <w:numId w:val="0"/>
        </w:numPr>
        <w:ind w:left="709" w:hanging="720"/>
        <w:rPr>
          <w:rFonts w:ascii="Times New Roman" w:hAnsi="Times New Roman" w:cs="Times New Roman"/>
          <w:sz w:val="24"/>
        </w:rPr>
      </w:pPr>
      <w:bookmarkStart w:id="19" w:name="_Toc473560910"/>
      <w:bookmarkStart w:id="20" w:name="_Toc151714397"/>
      <w:r>
        <w:rPr>
          <w:rFonts w:ascii="Times New Roman" w:hAnsi="Times New Roman"/>
          <w:sz w:val="24"/>
          <w:u w:val="none"/>
        </w:rPr>
        <w:t>3.3.3.1</w:t>
      </w:r>
      <w:r>
        <w:rPr>
          <w:rFonts w:ascii="Times New Roman" w:hAnsi="Times New Roman"/>
          <w:sz w:val="24"/>
          <w:u w:val="none"/>
        </w:rPr>
        <w:tab/>
      </w:r>
      <w:r>
        <w:rPr>
          <w:rFonts w:ascii="Times New Roman" w:hAnsi="Times New Roman"/>
          <w:sz w:val="24"/>
        </w:rPr>
        <w:t>A tábla egyes részeire vonatkozó útmutató</w:t>
      </w:r>
      <w:bookmarkEnd w:id="12"/>
      <w:bookmarkEnd w:id="13"/>
      <w:bookmarkEnd w:id="14"/>
      <w:bookmarkEnd w:id="15"/>
      <w:bookmarkEnd w:id="16"/>
      <w:bookmarkEnd w:id="17"/>
      <w:bookmarkEnd w:id="18"/>
      <w:bookmarkEnd w:id="19"/>
      <w:bookmarkEnd w:id="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57EC16E2" w14:textId="77777777" w:rsidTr="00822842">
        <w:tc>
          <w:tcPr>
            <w:tcW w:w="1188" w:type="dxa"/>
            <w:shd w:val="clear" w:color="auto" w:fill="CCCCCC"/>
          </w:tcPr>
          <w:p w14:paraId="62A9E816" w14:textId="77777777" w:rsidR="00FB3D09" w:rsidRPr="002A677E" w:rsidRDefault="00FB3D09" w:rsidP="00822842">
            <w:pPr>
              <w:rPr>
                <w:rFonts w:ascii="Times New Roman" w:hAnsi="Times New Roman"/>
                <w:sz w:val="24"/>
              </w:rPr>
            </w:pPr>
            <w:r>
              <w:rPr>
                <w:rFonts w:ascii="Times New Roman" w:hAnsi="Times New Roman"/>
                <w:sz w:val="24"/>
              </w:rPr>
              <w:t>Oszlopok</w:t>
            </w:r>
          </w:p>
        </w:tc>
        <w:tc>
          <w:tcPr>
            <w:tcW w:w="8843" w:type="dxa"/>
            <w:shd w:val="clear" w:color="auto" w:fill="CCCCCC"/>
          </w:tcPr>
          <w:p w14:paraId="2B397FE4" w14:textId="77777777" w:rsidR="00FB3D09" w:rsidRPr="002A677E" w:rsidRDefault="00FB3D09" w:rsidP="00822842">
            <w:pPr>
              <w:rPr>
                <w:rFonts w:ascii="Times New Roman" w:hAnsi="Times New Roman"/>
                <w:sz w:val="24"/>
              </w:rPr>
            </w:pPr>
            <w:r>
              <w:rPr>
                <w:rFonts w:ascii="Times New Roman" w:hAnsi="Times New Roman"/>
                <w:sz w:val="24"/>
              </w:rPr>
              <w:t>Útmutató</w:t>
            </w:r>
          </w:p>
        </w:tc>
      </w:tr>
      <w:tr w:rsidR="00FB3D09" w:rsidRPr="002A677E" w14:paraId="6D2D58B3" w14:textId="77777777" w:rsidTr="00822842">
        <w:tc>
          <w:tcPr>
            <w:tcW w:w="1188" w:type="dxa"/>
          </w:tcPr>
          <w:p w14:paraId="1736B9C4" w14:textId="77777777" w:rsidR="00FB3D09" w:rsidRPr="002A677E" w:rsidRDefault="00FB3D09" w:rsidP="00822842">
            <w:pPr>
              <w:rPr>
                <w:rFonts w:ascii="Times New Roman" w:hAnsi="Times New Roman"/>
                <w:sz w:val="24"/>
              </w:rPr>
            </w:pPr>
            <w:r>
              <w:rPr>
                <w:rFonts w:ascii="Times New Roman" w:hAnsi="Times New Roman"/>
                <w:sz w:val="24"/>
              </w:rPr>
              <w:t>0010</w:t>
            </w:r>
          </w:p>
        </w:tc>
        <w:tc>
          <w:tcPr>
            <w:tcW w:w="8843" w:type="dxa"/>
          </w:tcPr>
          <w:p w14:paraId="298149A1"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BELSŐ MINŐSÍTÉSI SKÁLA / AZ ÜGYFÉL KATEGÓRIÁHOZ VAGY -HALMAZHOZ (POOLHOZ) RENDELT NEMTELJESÍTÉSI VALÓSZÍNŰSÉG (%)</w:t>
            </w:r>
          </w:p>
          <w:p w14:paraId="5FF26C85" w14:textId="77777777" w:rsidR="00FB3D09" w:rsidRPr="002A677E" w:rsidRDefault="00FB3D09" w:rsidP="00822842">
            <w:pPr>
              <w:rPr>
                <w:rFonts w:ascii="Times New Roman" w:hAnsi="Times New Roman"/>
                <w:sz w:val="24"/>
              </w:rPr>
            </w:pPr>
            <w:r>
              <w:rPr>
                <w:rFonts w:ascii="Times New Roman" w:hAnsi="Times New Roman"/>
                <w:sz w:val="24"/>
              </w:rPr>
              <w:t>A kötelezetti kategóriához vagy halmazhoz rendelt, feltüntetendő PD-értéket az 575/2013/EU rendelet 180. cikkében foglalt rendelkezések alapján kell megállapítani.</w:t>
            </w:r>
            <w:r>
              <w:rPr>
                <w:rStyle w:val="InstructionsTabelleText"/>
                <w:rFonts w:ascii="Times New Roman" w:hAnsi="Times New Roman"/>
                <w:sz w:val="24"/>
              </w:rPr>
              <w:t xml:space="preserve"> Az egyes kötelezetti kategóriákhoz vagy halmazokhoz rendelt PD-értéket kell feltüntetni. A kötelezetti kategóriák vagy halmazok összesítő adataira (pl. a teljes kitettségre) vonatkozóan az összesítésbe beszámított kötelezetti kategóriákhoz vagy halmazokhoz rendelt PD-értékek kitettséggel súlyozott átlagát kell feltüntetni. </w:t>
            </w:r>
            <w:r>
              <w:rPr>
                <w:rFonts w:ascii="Times New Roman" w:hAnsi="Times New Roman"/>
                <w:sz w:val="24"/>
              </w:rPr>
              <w:t>A kitettségérték (0110-es oszlop) alapján kell kiszámítani a kitettséggel súlyozott átlagos PD értéket.</w:t>
            </w:r>
          </w:p>
          <w:p w14:paraId="723A0BA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Az egyes kötelezetti kategóriákhoz vagy halmazokhoz rendelt PD-értéket kell feltüntetni. A feltüntetett kockázati paramétereket az adott illetékes hatóság által jóváhagyott belső minősítési skálában alkalmazott kockázati paraméterekből kell származtatni.</w:t>
            </w:r>
          </w:p>
          <w:p w14:paraId="37DDB74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 xml:space="preserve">Irányadó felügyeleti skála alkalmazása nem előírás, és nem is szükséges. Ha az adatot szolgáltató intézmény egyedi minősítési skálát alkalmaz, vagy az adatszolgáltatást irányadó belső skála alapján tudja teljesíteni, akkor azt a skálát kell alkalmazni. </w:t>
            </w:r>
          </w:p>
          <w:p w14:paraId="4FCCB57F"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 xml:space="preserve">Egyébként a különböző minősítési skálákat a következő kritériumok alapján kell összevonni és rangsorolni: a különböző minősítési skálák kötelezetti kategóriáit össze kell vonni, majd az egyes kötelezetti kategóriákhoz rendelt PD-érték alapján növekvő sorrendbe kell állítani. Ha az intézmény nagyszámú ügyfélkategóriát vagy -halmazt alkalmaz, akkor adatszolgáltatási célból a kategóriák vagy -halmazok csökkentett számáról állapodhat meg az illetékes hatóságokkal. Ugyanez vonatkozik a folyamatos minősítési </w:t>
            </w:r>
            <w:r>
              <w:rPr>
                <w:rStyle w:val="InstructionsTabelleText"/>
                <w:rFonts w:ascii="Times New Roman" w:hAnsi="Times New Roman"/>
                <w:sz w:val="24"/>
              </w:rPr>
              <w:lastRenderedPageBreak/>
              <w:t>skálákra: esetükben is meg kell állapodni az illetékes hatóságokkal arról, hogy adatszolgáltatási célból a kategóriák száma csökkenthető.</w:t>
            </w:r>
          </w:p>
          <w:p w14:paraId="7B5BA46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Az intézményeknek előzetesen meg kell keresniük az illetékes hatóságot akkor, ha a belső kategóriák számától eltérő számú kategóriában kívánnak adatot szolgáltatni.</w:t>
            </w:r>
          </w:p>
          <w:p w14:paraId="05BEC00A"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Az utolsó minősítési kategóriát vagy kategóriákat a nemteljesítő kitettségekre kell alkalmazni, melyek PD-értéke 100 %.</w:t>
            </w:r>
          </w:p>
          <w:p w14:paraId="21058E35" w14:textId="53D6092E" w:rsidR="00FB3D09" w:rsidRPr="002A677E" w:rsidRDefault="00FB3D09" w:rsidP="00822842">
            <w:pPr>
              <w:rPr>
                <w:rFonts w:ascii="Times New Roman" w:hAnsi="Times New Roman"/>
                <w:sz w:val="24"/>
              </w:rPr>
            </w:pPr>
            <w:r>
              <w:rPr>
                <w:rStyle w:val="InstructionsTabelleText"/>
                <w:rFonts w:ascii="Times New Roman" w:hAnsi="Times New Roman"/>
                <w:sz w:val="24"/>
              </w:rPr>
              <w:t>Az átlagos PD-értéket a 110-es oszlopban feltüntetett kitettségértékkel kell súlyozni. A kitettséggel súlyozott átlagos PD-értéket az adott sorban feltüntetett összes kitettség figyelembevételével kell kiszámítani. Abban a sorban, ahol csak a nemteljesítő kitettségeket kell feltüntetni, az átlagos PD-érték 100 %.</w:t>
            </w:r>
          </w:p>
        </w:tc>
      </w:tr>
      <w:tr w:rsidR="00FB3D09" w:rsidRPr="002A677E" w14:paraId="45B04E8D" w14:textId="77777777" w:rsidTr="00822842">
        <w:tc>
          <w:tcPr>
            <w:tcW w:w="1188" w:type="dxa"/>
          </w:tcPr>
          <w:p w14:paraId="7FB0CCE0" w14:textId="77777777" w:rsidR="00FB3D09" w:rsidRPr="002A677E" w:rsidRDefault="00FB3D09" w:rsidP="00822842">
            <w:pPr>
              <w:rPr>
                <w:rFonts w:ascii="Times New Roman" w:hAnsi="Times New Roman"/>
                <w:sz w:val="24"/>
              </w:rPr>
            </w:pPr>
            <w:r>
              <w:rPr>
                <w:rFonts w:ascii="Times New Roman" w:hAnsi="Times New Roman"/>
                <w:sz w:val="24"/>
              </w:rPr>
              <w:lastRenderedPageBreak/>
              <w:t>0020</w:t>
            </w:r>
          </w:p>
        </w:tc>
        <w:tc>
          <w:tcPr>
            <w:tcW w:w="8843" w:type="dxa"/>
          </w:tcPr>
          <w:p w14:paraId="3CB0A55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HITEL-EGYENÉRTÉKESÍTÉSI TÉNYEZŐK ELŐTTI EREDETI KITETTSÉG</w:t>
            </w:r>
          </w:p>
          <w:p w14:paraId="5FC3A6BD" w14:textId="77777777" w:rsidR="00FB3D09" w:rsidRPr="002A677E" w:rsidRDefault="00FB3D09" w:rsidP="00822842">
            <w:pPr>
              <w:rPr>
                <w:rFonts w:ascii="Times New Roman" w:hAnsi="Times New Roman"/>
                <w:sz w:val="24"/>
              </w:rPr>
            </w:pPr>
            <w:r>
              <w:rPr>
                <w:rFonts w:ascii="Times New Roman" w:hAnsi="Times New Roman"/>
                <w:sz w:val="24"/>
              </w:rPr>
              <w:t xml:space="preserve">Az intézményeknek az értékelési korrekciók, céltartalékok, hitelkockázat-mérséklési technikákból eredő hatások és hitel-egyenértékesítési tényezők figyelembevétele előtti kitettségértéket kell feltüntetniük. </w:t>
            </w:r>
          </w:p>
          <w:p w14:paraId="6FE079F9" w14:textId="77777777" w:rsidR="00FB3D09" w:rsidRPr="002A677E" w:rsidRDefault="00FB3D09" w:rsidP="00822842">
            <w:pPr>
              <w:rPr>
                <w:rFonts w:ascii="Times New Roman" w:hAnsi="Times New Roman"/>
                <w:sz w:val="24"/>
              </w:rPr>
            </w:pPr>
            <w:r>
              <w:rPr>
                <w:rFonts w:ascii="Times New Roman" w:hAnsi="Times New Roman"/>
                <w:sz w:val="24"/>
              </w:rPr>
              <w:t>Az eredeti kitettségértéket az 575/2013/EU rendelet 24. cikkével, valamint 166. cikkének (1), (2), (4), (5), (6) és (7) bekezdésével összhangban kell megadni.</w:t>
            </w:r>
          </w:p>
          <w:p w14:paraId="11B43315" w14:textId="77777777" w:rsidR="00FB3D09" w:rsidRPr="002A677E" w:rsidRDefault="00FB3D09" w:rsidP="00822842">
            <w:pPr>
              <w:rPr>
                <w:rFonts w:ascii="Times New Roman" w:hAnsi="Times New Roman"/>
                <w:sz w:val="24"/>
              </w:rPr>
            </w:pPr>
            <w:r>
              <w:rPr>
                <w:rFonts w:ascii="Times New Roman" w:hAnsi="Times New Roman"/>
                <w:sz w:val="24"/>
              </w:rPr>
              <w:t xml:space="preserve">Az 575/2013/EU rendelet 166. cikkének (3) bekezdéséből eredő hatást (mérlegen belüli nettósítás alá eső kölcsönök és betétek hatása) előre rendelkezésre bocsátott hitelkockázati fedezetként külön kell feltüntetni, így az az eredeti kitettséget nem csökkenti. </w:t>
            </w:r>
          </w:p>
          <w:p w14:paraId="49185637" w14:textId="77777777" w:rsidR="00FB3D09" w:rsidRPr="002A677E" w:rsidRDefault="00FB3D09" w:rsidP="00822842">
            <w:pPr>
              <w:rPr>
                <w:rFonts w:ascii="Times New Roman" w:hAnsi="Times New Roman"/>
                <w:sz w:val="24"/>
              </w:rPr>
            </w:pPr>
            <w:r>
              <w:rPr>
                <w:rFonts w:ascii="Times New Roman" w:hAnsi="Times New Roman"/>
                <w:sz w:val="24"/>
              </w:rPr>
              <w:t>A partnerkockázattal érintett származtatott ügyletek, repoügyletek, értékpapír- és áru-kölcsönbeadási, illetve kölcsönvételi ügyletek, hosszú kiegyenlítési idejű ügyletek és értékpapírügylethez kapcsolódó hitelek esetében (az 575/2013/EU rendelet harmadik része II. címének 4. vagy 6. fejezete) az eredeti kitettségérték a partnerkockázati kitettség értéke (lásd a 0130-as oszlophoz tartozó útmutatót).</w:t>
            </w:r>
          </w:p>
        </w:tc>
      </w:tr>
      <w:tr w:rsidR="00FB3D09" w:rsidRPr="002A677E" w14:paraId="4820425A" w14:textId="77777777" w:rsidTr="00822842">
        <w:tc>
          <w:tcPr>
            <w:tcW w:w="1188" w:type="dxa"/>
          </w:tcPr>
          <w:p w14:paraId="17C25782"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Pr>
          <w:p w14:paraId="15A3D95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EBBŐL: NAGY MÉRETŰ PÉNZÜGYI ÁGAZATBELI SZERVEZETEK ÉS NEM SZABÁLYOZOTT PÉNZÜGYI ÁGAZATBELI SZERVEZETEK</w:t>
            </w:r>
          </w:p>
          <w:p w14:paraId="49D69508" w14:textId="77777777" w:rsidR="00FB3D09" w:rsidRPr="002A677E" w:rsidRDefault="00FB3D09" w:rsidP="00822842">
            <w:pPr>
              <w:rPr>
                <w:rFonts w:ascii="Times New Roman" w:hAnsi="Times New Roman"/>
                <w:b/>
                <w:sz w:val="24"/>
                <w:u w:val="single"/>
              </w:rPr>
            </w:pPr>
            <w:r>
              <w:rPr>
                <w:rFonts w:ascii="Times New Roman" w:hAnsi="Times New Roman"/>
                <w:sz w:val="24"/>
              </w:rPr>
              <w:t>A hitel-egyenértékesítési tényezők előtti eredeti kitettség felosztása az 575/2013/EU rendelet 142. cikke (1) bekezdésének 4. és 5. pontjában említett szervezetek összes azon kitettségére, amelyre az említett rendelet 153. cikkének (2) bekezdése szerinti magasabb korrelációs együttható alkalmazandó.</w:t>
            </w:r>
          </w:p>
        </w:tc>
      </w:tr>
      <w:tr w:rsidR="00FB3D09" w:rsidRPr="002A677E" w14:paraId="216A721A" w14:textId="77777777" w:rsidTr="00822842">
        <w:tc>
          <w:tcPr>
            <w:tcW w:w="1188" w:type="dxa"/>
          </w:tcPr>
          <w:p w14:paraId="189E467F" w14:textId="77777777" w:rsidR="00FB3D09" w:rsidRPr="002A677E" w:rsidRDefault="00FB3D09" w:rsidP="00822842">
            <w:pPr>
              <w:rPr>
                <w:rFonts w:ascii="Times New Roman" w:hAnsi="Times New Roman"/>
                <w:sz w:val="24"/>
              </w:rPr>
            </w:pPr>
            <w:r>
              <w:rPr>
                <w:rFonts w:ascii="Times New Roman" w:hAnsi="Times New Roman"/>
                <w:sz w:val="24"/>
              </w:rPr>
              <w:t>0040–0080</w:t>
            </w:r>
          </w:p>
        </w:tc>
        <w:tc>
          <w:tcPr>
            <w:tcW w:w="8843" w:type="dxa"/>
          </w:tcPr>
          <w:p w14:paraId="0B033AC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A KITETTSÉGRE HELYETTESÍTÉSI HATÁSSAL JÁRÓ HITELKOCKÁZAT-MÉRSÉKLÉSI (CRM) TECHNIKÁK</w:t>
            </w:r>
          </w:p>
          <w:p w14:paraId="15F28018" w14:textId="77777777" w:rsidR="00FB3D09" w:rsidRPr="002A677E" w:rsidRDefault="00FB3D09" w:rsidP="00822842">
            <w:pPr>
              <w:rPr>
                <w:rFonts w:ascii="Times New Roman" w:hAnsi="Times New Roman"/>
                <w:sz w:val="24"/>
              </w:rPr>
            </w:pPr>
            <w:r>
              <w:rPr>
                <w:rFonts w:ascii="Times New Roman" w:hAnsi="Times New Roman"/>
                <w:sz w:val="24"/>
              </w:rPr>
              <w:t>Az 575/2013/EU rendelet 4. cikke (1) bekezdésének 57. pontjában meghatározott hitelkockázat-mérséklés, amely egy vagy több kitettség hitelkockázatát csökkenti a kitettségeknek az alább „A KITETTSÉG HITELKOCKÁZAT-MÉRSÉKLÉS MIATTI HELYETTESÍTÉSE” részben ismertetett helyettesítésével.</w:t>
            </w:r>
          </w:p>
          <w:p w14:paraId="1328DB1C" w14:textId="77777777" w:rsidR="00FB3D09" w:rsidRPr="002A677E" w:rsidRDefault="00FB3D09" w:rsidP="00822842">
            <w:pPr>
              <w:autoSpaceDE w:val="0"/>
              <w:autoSpaceDN w:val="0"/>
              <w:adjustRightInd w:val="0"/>
              <w:spacing w:before="0" w:after="0"/>
              <w:jc w:val="left"/>
              <w:rPr>
                <w:rFonts w:ascii="Times New Roman" w:hAnsi="Times New Roman"/>
                <w:sz w:val="24"/>
              </w:rPr>
            </w:pPr>
          </w:p>
        </w:tc>
      </w:tr>
      <w:tr w:rsidR="00FB3D09" w:rsidRPr="002A677E" w14:paraId="4BD2F7DD" w14:textId="77777777" w:rsidTr="00822842">
        <w:tc>
          <w:tcPr>
            <w:tcW w:w="1188" w:type="dxa"/>
          </w:tcPr>
          <w:p w14:paraId="0BA81A61" w14:textId="77777777" w:rsidR="00FB3D09" w:rsidRPr="002A677E" w:rsidRDefault="00FB3D09" w:rsidP="00822842">
            <w:pPr>
              <w:rPr>
                <w:rFonts w:ascii="Times New Roman" w:hAnsi="Times New Roman"/>
                <w:sz w:val="24"/>
              </w:rPr>
            </w:pPr>
            <w:r>
              <w:rPr>
                <w:rFonts w:ascii="Times New Roman" w:hAnsi="Times New Roman"/>
                <w:sz w:val="24"/>
              </w:rPr>
              <w:t>0040–0050</w:t>
            </w:r>
          </w:p>
        </w:tc>
        <w:tc>
          <w:tcPr>
            <w:tcW w:w="8843" w:type="dxa"/>
          </w:tcPr>
          <w:p w14:paraId="4B08A0E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ELŐRE NEM RENDELKEZÉSRE BOCSÁTOTT HITELKOCKÁZATI FEDEZET</w:t>
            </w:r>
          </w:p>
          <w:p w14:paraId="25128BF3" w14:textId="77777777" w:rsidR="00FB3D09" w:rsidRPr="002A677E" w:rsidRDefault="00FB3D09" w:rsidP="00822842">
            <w:pPr>
              <w:rPr>
                <w:rStyle w:val="InstructionsTabelleText"/>
                <w:rFonts w:ascii="Times New Roman" w:hAnsi="Times New Roman"/>
                <w:sz w:val="24"/>
              </w:rPr>
            </w:pPr>
            <w:r>
              <w:rPr>
                <w:rFonts w:ascii="Times New Roman" w:hAnsi="Times New Roman"/>
                <w:sz w:val="24"/>
              </w:rPr>
              <w:t>Előre nem rendelkezésre bocsátott hitelkockázati fedezet az 575/2013/EU rendelet 4. cikke (1) bekezdésének 59. pontjában meghatározottaknak megfelelően.</w:t>
            </w:r>
          </w:p>
          <w:p w14:paraId="538FB9AD" w14:textId="77777777" w:rsidR="00FB3D09" w:rsidRPr="002A677E" w:rsidRDefault="00FB3D09" w:rsidP="00822842">
            <w:pPr>
              <w:rPr>
                <w:rFonts w:ascii="Times New Roman" w:hAnsi="Times New Roman"/>
                <w:sz w:val="24"/>
              </w:rPr>
            </w:pPr>
            <w:r>
              <w:rPr>
                <w:rFonts w:ascii="Times New Roman" w:hAnsi="Times New Roman"/>
                <w:sz w:val="24"/>
              </w:rPr>
              <w:lastRenderedPageBreak/>
              <w:t>A kitettséget befolyásoló előre nem rendelkezésre bocsátott hitelkockázati fedezet (pl. ha azt a kitettségre helyettesítési hatással járó hitelkockázat-mérséklési technikákhoz használják fel) értéke legfeljebb a kitettségérték lehet.</w:t>
            </w:r>
          </w:p>
        </w:tc>
      </w:tr>
      <w:tr w:rsidR="00FB3D09" w:rsidRPr="002A677E" w14:paraId="4279348F" w14:textId="77777777" w:rsidTr="00822842">
        <w:tc>
          <w:tcPr>
            <w:tcW w:w="1188" w:type="dxa"/>
          </w:tcPr>
          <w:p w14:paraId="777BC734" w14:textId="77777777" w:rsidR="00FB3D09" w:rsidRPr="002A677E" w:rsidRDefault="00FB3D09" w:rsidP="00822842">
            <w:pPr>
              <w:rPr>
                <w:rFonts w:ascii="Times New Roman" w:hAnsi="Times New Roman"/>
                <w:sz w:val="24"/>
              </w:rPr>
            </w:pPr>
            <w:r>
              <w:rPr>
                <w:rFonts w:ascii="Times New Roman" w:hAnsi="Times New Roman"/>
                <w:sz w:val="24"/>
              </w:rPr>
              <w:lastRenderedPageBreak/>
              <w:t>0040</w:t>
            </w:r>
          </w:p>
        </w:tc>
        <w:tc>
          <w:tcPr>
            <w:tcW w:w="8843" w:type="dxa"/>
          </w:tcPr>
          <w:p w14:paraId="629601A3" w14:textId="77777777" w:rsidR="00FB3D09" w:rsidRPr="002A677E" w:rsidRDefault="00FB3D09" w:rsidP="00822842">
            <w:pPr>
              <w:jc w:val="left"/>
              <w:rPr>
                <w:rStyle w:val="InstructionsTabelleberschrift"/>
                <w:rFonts w:ascii="Times New Roman" w:hAnsi="Times New Roman"/>
                <w:sz w:val="24"/>
              </w:rPr>
            </w:pPr>
            <w:r>
              <w:rPr>
                <w:rStyle w:val="InstructionsTabelleberschrift"/>
                <w:rFonts w:ascii="Times New Roman" w:hAnsi="Times New Roman"/>
                <w:sz w:val="24"/>
              </w:rPr>
              <w:t>GARANCIÁK:</w:t>
            </w:r>
          </w:p>
          <w:p w14:paraId="2FC9ABD9" w14:textId="7C572507" w:rsidR="00FB3D09" w:rsidRPr="00E01F19" w:rsidRDefault="00FB3D09" w:rsidP="00822842">
            <w:pPr>
              <w:jc w:val="left"/>
              <w:rPr>
                <w:rFonts w:ascii="Times New Roman" w:hAnsi="Times New Roman"/>
                <w:sz w:val="24"/>
              </w:rPr>
            </w:pPr>
            <w:r>
              <w:rPr>
                <w:rFonts w:ascii="Times New Roman" w:hAnsi="Times New Roman"/>
                <w:sz w:val="24"/>
              </w:rPr>
              <w:t>Ha a kockázattal súlyozott kitettségértékeket az 575/2013/EU rendelet 4. fejezetével (108. cikk (2a) bekezdés második mondat, 183. cikk (1a) bekezdés első mondat, második alternatíva, 235a. cikk, 236. cikk, 236a. cikk) összhangban a helyettesítéses módszer szerint számítják ki, az 575/2013/EU rendelet 235a. cikkének (1) bekezdésében meghatározott korrigált értéket (G</w:t>
            </w:r>
            <w:r>
              <w:rPr>
                <w:rFonts w:ascii="Times New Roman" w:hAnsi="Times New Roman"/>
                <w:sz w:val="24"/>
                <w:vertAlign w:val="subscript"/>
              </w:rPr>
              <w:t>A</w:t>
            </w:r>
            <w:r>
              <w:rPr>
                <w:rFonts w:ascii="Times New Roman" w:hAnsi="Times New Roman"/>
                <w:sz w:val="24"/>
              </w:rPr>
              <w:t>) kell megadni.</w:t>
            </w:r>
          </w:p>
          <w:p w14:paraId="66D2714E" w14:textId="77777777" w:rsidR="00FB3D09" w:rsidRPr="00E01F19" w:rsidRDefault="00FB3D09" w:rsidP="00822842">
            <w:pPr>
              <w:jc w:val="left"/>
              <w:rPr>
                <w:rFonts w:ascii="Times New Roman" w:hAnsi="Times New Roman"/>
                <w:sz w:val="24"/>
              </w:rPr>
            </w:pPr>
            <w:r>
              <w:rPr>
                <w:rFonts w:ascii="Times New Roman" w:hAnsi="Times New Roman"/>
                <w:sz w:val="24"/>
              </w:rPr>
              <w:t xml:space="preserve">Ha az intézmény saját LGD-becslést alkalmaz az 575/2013/EU rendelet 183. cikkének megfelelően (de e cikk (3) bekezdésének kivételével), akkor a belső modellben használt releváns értéket kell feltüntetni. </w:t>
            </w:r>
          </w:p>
          <w:p w14:paraId="0F837DAE" w14:textId="6FB660DD" w:rsidR="00FB3D09" w:rsidRPr="002A677E" w:rsidRDefault="00FB3D09" w:rsidP="00822842">
            <w:pPr>
              <w:jc w:val="left"/>
              <w:rPr>
                <w:rFonts w:ascii="Times New Roman" w:hAnsi="Times New Roman"/>
                <w:sz w:val="24"/>
              </w:rPr>
            </w:pPr>
            <w:r>
              <w:rPr>
                <w:rFonts w:ascii="Times New Roman" w:hAnsi="Times New Roman"/>
                <w:sz w:val="24"/>
              </w:rPr>
              <w:t>Ha a 108. cikk (2a) bekezdésének első mondatával és a 183. cikk (1a) bekezdésével összhangban a PD/LGD-kiigazítás-modellezéses módszert alkalmazzák, és a kiigazítás az LGD-ben történik, a garancia összegét a 0150 oszlopban kell feltüntetni.</w:t>
            </w:r>
          </w:p>
        </w:tc>
      </w:tr>
      <w:tr w:rsidR="00FB3D09" w:rsidRPr="002A677E" w14:paraId="10449AF9" w14:textId="77777777" w:rsidTr="00822842">
        <w:tc>
          <w:tcPr>
            <w:tcW w:w="1188" w:type="dxa"/>
          </w:tcPr>
          <w:p w14:paraId="3EE21C34"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843" w:type="dxa"/>
          </w:tcPr>
          <w:p w14:paraId="0360D0F5"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HITELDERIVATÍVÁK:</w:t>
            </w:r>
          </w:p>
          <w:p w14:paraId="244ABC5F" w14:textId="381DD996" w:rsidR="00FB3D09" w:rsidRPr="002A677E" w:rsidRDefault="00FB3D09" w:rsidP="00822842">
            <w:pPr>
              <w:jc w:val="left"/>
              <w:rPr>
                <w:rFonts w:ascii="Times New Roman" w:hAnsi="Times New Roman"/>
                <w:sz w:val="24"/>
              </w:rPr>
            </w:pPr>
            <w:r>
              <w:rPr>
                <w:rFonts w:ascii="Times New Roman" w:hAnsi="Times New Roman"/>
                <w:sz w:val="24"/>
              </w:rPr>
              <w:t>Ha a kockázattal súlyozott kitettségértékeket a helyettesítéses módszer szerint számítják ki (az 575/2013/EU rendelet 108. cikke (2a) bekezdésének második mondata, 183. cikke (1a) bekezdésének első mondata, második alternatíva, 235a. cikke, 236. cikke és 236a. cikke), az 575/2013/EU rendelet 235a. cikkének (1) bekezdésében meghatározott korrigált értéket (G</w:t>
            </w:r>
            <w:r>
              <w:rPr>
                <w:rFonts w:ascii="Times New Roman" w:hAnsi="Times New Roman"/>
                <w:sz w:val="24"/>
                <w:vertAlign w:val="subscript"/>
              </w:rPr>
              <w:t>A</w:t>
            </w:r>
            <w:r>
              <w:rPr>
                <w:rFonts w:ascii="Times New Roman" w:hAnsi="Times New Roman"/>
                <w:sz w:val="24"/>
              </w:rPr>
              <w:t>) kell megadni.</w:t>
            </w:r>
          </w:p>
          <w:p w14:paraId="4A934ED8" w14:textId="104690E2" w:rsidR="00FB3D09" w:rsidRPr="002A677E" w:rsidRDefault="00FB3D09" w:rsidP="00822842">
            <w:pPr>
              <w:rPr>
                <w:rFonts w:ascii="Times New Roman" w:hAnsi="Times New Roman"/>
                <w:sz w:val="24"/>
              </w:rPr>
            </w:pPr>
            <w:r>
              <w:rPr>
                <w:rFonts w:ascii="Times New Roman" w:hAnsi="Times New Roman"/>
                <w:sz w:val="24"/>
              </w:rPr>
              <w:t>Ha az 575/2013/EU rendelet 108. cikke (2a) bekezdésének első mondatával, 183. cikke (1a) bekezdésének első mondatával (első alternatíva) és 183. cikke (3) bekezdésével összhangban a PD/LGD-kiigazítás-modellezéses módszert alkalmazzák, és a kiigazítás az LGD-ben történik, a hitelderivatívák összegét a 0160-as oszlopban kell feltüntetni.</w:t>
            </w:r>
            <w:r>
              <w:rPr>
                <w:rFonts w:ascii="Times New Roman" w:hAnsi="Times New Roman"/>
                <w:color w:val="008080"/>
                <w:sz w:val="24"/>
                <w:u w:val="single"/>
              </w:rPr>
              <w:t xml:space="preserve"> </w:t>
            </w:r>
            <w:r>
              <w:rPr>
                <w:rFonts w:ascii="Times New Roman" w:hAnsi="Times New Roman"/>
                <w:sz w:val="24"/>
              </w:rPr>
              <w:t>A belső modellben alkalmazott vonatkozó értéket kell megadni.</w:t>
            </w:r>
          </w:p>
        </w:tc>
      </w:tr>
      <w:tr w:rsidR="00FB3D09" w:rsidRPr="002A677E" w14:paraId="62414089" w14:textId="77777777" w:rsidTr="00822842">
        <w:tc>
          <w:tcPr>
            <w:tcW w:w="1188" w:type="dxa"/>
          </w:tcPr>
          <w:p w14:paraId="32FA0884"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843" w:type="dxa"/>
          </w:tcPr>
          <w:p w14:paraId="3D25836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EGYÉB ELŐRE RENDELKEZÉSRE BOCSÁTOTT HITELKOCKÁZATI FEDEZET</w:t>
            </w:r>
          </w:p>
          <w:p w14:paraId="632FAD69" w14:textId="77777777" w:rsidR="00FB3D09" w:rsidRPr="000059B8" w:rsidRDefault="00FB3D09" w:rsidP="00822842">
            <w:pPr>
              <w:rPr>
                <w:rFonts w:ascii="Times New Roman" w:hAnsi="Times New Roman"/>
                <w:sz w:val="24"/>
              </w:rPr>
            </w:pPr>
            <w:r>
              <w:rPr>
                <w:rFonts w:ascii="Times New Roman" w:hAnsi="Times New Roman"/>
                <w:sz w:val="24"/>
              </w:rPr>
              <w:t>Ha az intézmény nem alkalmaz saját LGD-becslést, akkor az 575/2013/EU rendelet 232. cikkének (1) bekezdése alkalmazandó.</w:t>
            </w:r>
          </w:p>
          <w:p w14:paraId="371C738E" w14:textId="77777777" w:rsidR="00FB3D09" w:rsidRPr="000059B8" w:rsidRDefault="00FB3D09" w:rsidP="00822842">
            <w:pPr>
              <w:jc w:val="left"/>
              <w:rPr>
                <w:rFonts w:ascii="Times New Roman" w:hAnsi="Times New Roman"/>
                <w:sz w:val="24"/>
              </w:rPr>
            </w:pPr>
            <w:r>
              <w:rPr>
                <w:rFonts w:ascii="Times New Roman" w:hAnsi="Times New Roman"/>
                <w:sz w:val="24"/>
              </w:rPr>
              <w:t>Ha a kockázattal súlyozott kitettségértékeket a helyettesítéses módszer szerint számítják ki (az 575/2013/EU rendelet 108. cikke (2a) bekezdésének második mondata, 183. cikke (1a) bekezdésének első mondata, második alternatíva, 235a. cikke és 236. cikke), az 575/2013/EU rendelet 235a. cikkének (1) bekezdésében meghatározott korrigált értéket (GA) kell megadni.</w:t>
            </w:r>
          </w:p>
          <w:p w14:paraId="5989E354" w14:textId="7E30FA86" w:rsidR="00FB3D09" w:rsidRPr="000059B8" w:rsidRDefault="00FB3D09" w:rsidP="00822842">
            <w:pPr>
              <w:rPr>
                <w:rFonts w:ascii="Times New Roman" w:hAnsi="Times New Roman"/>
                <w:sz w:val="24"/>
              </w:rPr>
            </w:pPr>
            <w:r>
              <w:rPr>
                <w:rFonts w:ascii="Times New Roman" w:hAnsi="Times New Roman"/>
                <w:sz w:val="24"/>
              </w:rPr>
              <w:t>A kitettséget az eredeti kitettség hitel-egyenértékesítési tényezők előtti értékében kell maximálni.</w:t>
            </w:r>
          </w:p>
          <w:p w14:paraId="74A46846" w14:textId="29D167DC" w:rsidR="00FB3D09" w:rsidRPr="002A677E" w:rsidRDefault="00FB3D09" w:rsidP="00822842">
            <w:pPr>
              <w:rPr>
                <w:rStyle w:val="InstructionsTabelleText"/>
                <w:rFonts w:ascii="Times New Roman" w:hAnsi="Times New Roman"/>
                <w:sz w:val="24"/>
              </w:rPr>
            </w:pPr>
            <w:r>
              <w:rPr>
                <w:rFonts w:ascii="Times New Roman" w:hAnsi="Times New Roman"/>
                <w:sz w:val="24"/>
              </w:rPr>
              <w:t xml:space="preserve">Ha az LGD értékében az 575/2013/EU rendelet 181. cikkével összhangban kiigazítás történik, akkor az összeget a 0170-es oszlopban kell feltüntetni. </w:t>
            </w:r>
          </w:p>
        </w:tc>
      </w:tr>
      <w:tr w:rsidR="00FB3D09" w:rsidRPr="002A677E" w14:paraId="6C40B204" w14:textId="77777777" w:rsidTr="00822842">
        <w:tc>
          <w:tcPr>
            <w:tcW w:w="1188" w:type="dxa"/>
          </w:tcPr>
          <w:p w14:paraId="7C55B264" w14:textId="77777777" w:rsidR="00FB3D09" w:rsidRPr="002A677E" w:rsidRDefault="00FB3D09" w:rsidP="00822842">
            <w:pPr>
              <w:rPr>
                <w:rFonts w:ascii="Times New Roman" w:hAnsi="Times New Roman"/>
                <w:sz w:val="24"/>
              </w:rPr>
            </w:pPr>
            <w:r>
              <w:rPr>
                <w:rFonts w:ascii="Times New Roman" w:hAnsi="Times New Roman"/>
                <w:sz w:val="24"/>
              </w:rPr>
              <w:t>0070–0080</w:t>
            </w:r>
          </w:p>
        </w:tc>
        <w:tc>
          <w:tcPr>
            <w:tcW w:w="8843" w:type="dxa"/>
          </w:tcPr>
          <w:p w14:paraId="7EA9925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A KITETTSÉG HITELKOCKÁZAT-MÉRSÉKLÉS MIATTI HELYETTESÍTÉSE</w:t>
            </w:r>
          </w:p>
          <w:p w14:paraId="4A614404" w14:textId="0D3BCE2F" w:rsidR="00FB3D09" w:rsidRPr="000059B8" w:rsidRDefault="00FB3D09" w:rsidP="00822842">
            <w:pPr>
              <w:rPr>
                <w:rFonts w:ascii="Times New Roman" w:hAnsi="Times New Roman"/>
                <w:sz w:val="24"/>
              </w:rPr>
            </w:pPr>
            <w:r>
              <w:rPr>
                <w:rFonts w:ascii="Times New Roman" w:hAnsi="Times New Roman"/>
                <w:sz w:val="24"/>
              </w:rPr>
              <w:t xml:space="preserve">A kiáramlások értéke megegyezik a hitel-egyenértékesítési tényezők előtti eredeti kitettség fedezett részével, amelyet a kötelezett kitettségi osztályából, illetve adott esetben </w:t>
            </w:r>
            <w:r>
              <w:rPr>
                <w:rFonts w:ascii="Times New Roman" w:hAnsi="Times New Roman"/>
                <w:sz w:val="24"/>
              </w:rPr>
              <w:lastRenderedPageBreak/>
              <w:t>kötelezetti kategóriájából vagy halmazából való levonást követően a fedezetnyújtó kitettségi osztályába, illetve adott esetben kötelezetti kategóriájába vagy halmazába kell sorolni. Ezt az összeget a fedezetnyújtó kitettségi osztályába, illetve adott esetben kötelezetti kategóriájába vagy halmazába irányuló beáramlásnak kell tekinteni.</w:t>
            </w:r>
          </w:p>
          <w:p w14:paraId="107B30E3" w14:textId="77777777" w:rsidR="00FB3D09" w:rsidRPr="000059B8" w:rsidRDefault="00FB3D09" w:rsidP="00822842">
            <w:pPr>
              <w:rPr>
                <w:rFonts w:ascii="Times New Roman" w:hAnsi="Times New Roman"/>
                <w:sz w:val="24"/>
              </w:rPr>
            </w:pPr>
            <w:r>
              <w:rPr>
                <w:rFonts w:ascii="Times New Roman" w:hAnsi="Times New Roman"/>
                <w:sz w:val="24"/>
              </w:rPr>
              <w:t>Az azonos kitettségi osztályba, illetve adott esetben kötelezetti kategóriába vagy halmazba tartozó be- és kiáramlásokat szintén figyelembe kell venni.</w:t>
            </w:r>
          </w:p>
          <w:p w14:paraId="610F295D" w14:textId="77777777" w:rsidR="00FB3D09" w:rsidRPr="000059B8" w:rsidRDefault="00FB3D09" w:rsidP="00822842">
            <w:pPr>
              <w:rPr>
                <w:rFonts w:ascii="Times New Roman" w:hAnsi="Times New Roman"/>
                <w:sz w:val="24"/>
              </w:rPr>
            </w:pPr>
            <w:r>
              <w:rPr>
                <w:rFonts w:ascii="Times New Roman" w:hAnsi="Times New Roman"/>
                <w:sz w:val="24"/>
              </w:rPr>
              <w:t>Figyelembe kell venni az egyéb táblákhoz kapcsolódó esetleges ki- és beáramlásokból eredő kitettségeket is.</w:t>
            </w:r>
          </w:p>
          <w:p w14:paraId="1DB2B7C5" w14:textId="3BA23E22" w:rsidR="00FB3D09" w:rsidRPr="002A677E" w:rsidRDefault="00FB3D09" w:rsidP="00822842"/>
        </w:tc>
      </w:tr>
      <w:tr w:rsidR="00FB3D09" w:rsidRPr="002A677E" w14:paraId="29952085" w14:textId="77777777" w:rsidTr="00822842">
        <w:tc>
          <w:tcPr>
            <w:tcW w:w="1188" w:type="dxa"/>
          </w:tcPr>
          <w:p w14:paraId="08FA3F2A" w14:textId="77777777" w:rsidR="00FB3D09" w:rsidRPr="002A677E" w:rsidRDefault="00FB3D09" w:rsidP="00822842">
            <w:pPr>
              <w:rPr>
                <w:rFonts w:ascii="Times New Roman" w:hAnsi="Times New Roman"/>
                <w:sz w:val="24"/>
              </w:rPr>
            </w:pPr>
            <w:r>
              <w:rPr>
                <w:rFonts w:ascii="Times New Roman" w:hAnsi="Times New Roman"/>
                <w:sz w:val="24"/>
              </w:rPr>
              <w:lastRenderedPageBreak/>
              <w:t xml:space="preserve">0090 </w:t>
            </w:r>
          </w:p>
          <w:p w14:paraId="0355DD8B" w14:textId="77777777" w:rsidR="00FB3D09" w:rsidRPr="002A677E" w:rsidRDefault="00FB3D09" w:rsidP="00822842">
            <w:r>
              <w:br/>
            </w:r>
          </w:p>
          <w:p w14:paraId="1020C237" w14:textId="77777777" w:rsidR="00FB3D09" w:rsidRPr="002A677E" w:rsidRDefault="00FB3D09" w:rsidP="00822842">
            <w:pPr>
              <w:rPr>
                <w:rFonts w:ascii="Times New Roman" w:hAnsi="Times New Roman"/>
                <w:sz w:val="24"/>
              </w:rPr>
            </w:pPr>
          </w:p>
        </w:tc>
        <w:tc>
          <w:tcPr>
            <w:tcW w:w="8843" w:type="dxa"/>
          </w:tcPr>
          <w:p w14:paraId="53C76B9B"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HELYETTESÍTÉSI HATÁSSAL JÁRÓ CRM-TECHNIKÁK UTÁNI, A HITEL-EGYENÉRTÉKESÍTÉSI TÉNYEZŐK ELŐTTI KITETTSÉG</w:t>
            </w:r>
          </w:p>
          <w:p w14:paraId="2477F8EB" w14:textId="77777777" w:rsidR="00FB3D09" w:rsidRPr="002A677E" w:rsidRDefault="00FB3D09" w:rsidP="00822842">
            <w:pPr>
              <w:rPr>
                <w:rFonts w:ascii="Times New Roman" w:hAnsi="Times New Roman"/>
                <w:sz w:val="24"/>
              </w:rPr>
            </w:pPr>
            <w:r>
              <w:rPr>
                <w:rFonts w:ascii="Times New Roman" w:hAnsi="Times New Roman"/>
                <w:sz w:val="24"/>
              </w:rPr>
              <w:t>A megfelelő kötelezetti kategóriába vagy halmazba, illetve kitettségi osztályba sorolt kitettségérték a kitettségre helyettesítési hatással járó hitelkockázat-mérséklési technikák miatti ki- és beáramlások figyelembevétele után.</w:t>
            </w:r>
          </w:p>
        </w:tc>
      </w:tr>
      <w:tr w:rsidR="00FB3D09" w:rsidRPr="002A677E" w14:paraId="678E16FA" w14:textId="77777777" w:rsidTr="00822842">
        <w:tc>
          <w:tcPr>
            <w:tcW w:w="1188" w:type="dxa"/>
          </w:tcPr>
          <w:p w14:paraId="590D5D4A" w14:textId="77777777" w:rsidR="00FB3D09" w:rsidRPr="002A677E" w:rsidRDefault="00FB3D09" w:rsidP="00822842">
            <w:pPr>
              <w:rPr>
                <w:rFonts w:ascii="Times New Roman" w:hAnsi="Times New Roman"/>
                <w:sz w:val="24"/>
              </w:rPr>
            </w:pPr>
            <w:r>
              <w:rPr>
                <w:rFonts w:ascii="Times New Roman" w:hAnsi="Times New Roman"/>
                <w:sz w:val="24"/>
              </w:rPr>
              <w:t>0100, 0120</w:t>
            </w:r>
          </w:p>
        </w:tc>
        <w:tc>
          <w:tcPr>
            <w:tcW w:w="8843" w:type="dxa"/>
          </w:tcPr>
          <w:p w14:paraId="70C0CAF4"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 xml:space="preserve">Ebből: Mérlegen kívüli tételek </w:t>
            </w:r>
          </w:p>
          <w:p w14:paraId="2F36E223" w14:textId="77777777" w:rsidR="00FB3D09" w:rsidRPr="002A677E" w:rsidRDefault="00FB3D09" w:rsidP="00822842">
            <w:pPr>
              <w:rPr>
                <w:rFonts w:ascii="Times New Roman" w:hAnsi="Times New Roman"/>
                <w:sz w:val="24"/>
              </w:rPr>
            </w:pPr>
            <w:r>
              <w:rPr>
                <w:rFonts w:ascii="Times New Roman" w:hAnsi="Times New Roman"/>
                <w:sz w:val="24"/>
              </w:rPr>
              <w:t>Lásd a CR SA táblához tartozó útmutatót.</w:t>
            </w:r>
          </w:p>
        </w:tc>
      </w:tr>
      <w:tr w:rsidR="00FB3D09" w:rsidRPr="002A677E" w14:paraId="00A4DCE6" w14:textId="77777777" w:rsidTr="00822842">
        <w:tc>
          <w:tcPr>
            <w:tcW w:w="1188" w:type="dxa"/>
          </w:tcPr>
          <w:p w14:paraId="511472D9" w14:textId="77777777" w:rsidR="00FB3D09" w:rsidRPr="002A677E" w:rsidRDefault="00FB3D09" w:rsidP="00822842">
            <w:pPr>
              <w:rPr>
                <w:rFonts w:ascii="Times New Roman" w:hAnsi="Times New Roman"/>
                <w:sz w:val="24"/>
              </w:rPr>
            </w:pPr>
            <w:r>
              <w:rPr>
                <w:rFonts w:ascii="Times New Roman" w:hAnsi="Times New Roman"/>
                <w:sz w:val="24"/>
              </w:rPr>
              <w:t>0101–0107</w:t>
            </w:r>
          </w:p>
        </w:tc>
        <w:tc>
          <w:tcPr>
            <w:tcW w:w="8843" w:type="dxa"/>
          </w:tcPr>
          <w:p w14:paraId="1886DC9B" w14:textId="77777777" w:rsidR="00FB3D09" w:rsidRPr="00B7761D"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A MÉRLEGEN KÍVÜLI TÉTELEK TELJES MÉRTÉKBEN KORRIGÁLT KITETTSÉGÉRTÉKE HITEL-EGYENÉRTÉKESÍTÉSI TÉNYEZŐK SZERINTI BONTÁSBAN</w:t>
            </w:r>
          </w:p>
          <w:p w14:paraId="08C9DDC2" w14:textId="77777777" w:rsidR="00FB3D09" w:rsidRPr="002A677E" w:rsidRDefault="00FB3D09" w:rsidP="00822842">
            <w:pPr>
              <w:pStyle w:val="InstructionsText"/>
            </w:pPr>
            <w:r>
              <w:t>Az 575/2013/EU rendelet 166. cikkének (8) bekezdése, a (8a) és (8b) bekezdéssel, valamint 151. cikkének (8) bekezdésével összhangban.</w:t>
            </w:r>
          </w:p>
          <w:p w14:paraId="434D1ED6" w14:textId="77777777" w:rsidR="00FB3D09" w:rsidRPr="00E438EB" w:rsidRDefault="00FB3D09" w:rsidP="00822842">
            <w:pPr>
              <w:rPr>
                <w:rStyle w:val="InstructionsTabelleberschrift"/>
                <w:rFonts w:ascii="Times New Roman" w:hAnsi="Times New Roman"/>
                <w:sz w:val="24"/>
              </w:rPr>
            </w:pPr>
            <w:r>
              <w:rPr>
                <w:rFonts w:ascii="Times New Roman" w:hAnsi="Times New Roman"/>
                <w:sz w:val="24"/>
              </w:rPr>
              <w:t>A feltüntetett adatoknak a hitel-egyenértékesítési tényező alkalmazása előtti, teljes mértékben korrigált kitettségértékeknek kell lenniük.</w:t>
            </w:r>
          </w:p>
        </w:tc>
      </w:tr>
      <w:tr w:rsidR="00FB3D09" w:rsidRPr="002A677E" w14:paraId="56ED3146" w14:textId="77777777" w:rsidTr="00822842">
        <w:tc>
          <w:tcPr>
            <w:tcW w:w="1188" w:type="dxa"/>
          </w:tcPr>
          <w:p w14:paraId="4FBB1F46" w14:textId="77777777" w:rsidR="00FB3D09" w:rsidRDefault="00FB3D09" w:rsidP="00822842">
            <w:pPr>
              <w:rPr>
                <w:rFonts w:ascii="Times New Roman" w:hAnsi="Times New Roman"/>
                <w:sz w:val="24"/>
              </w:rPr>
            </w:pPr>
            <w:r>
              <w:rPr>
                <w:rFonts w:ascii="Times New Roman" w:hAnsi="Times New Roman"/>
                <w:sz w:val="24"/>
              </w:rPr>
              <w:t>0101</w:t>
            </w:r>
          </w:p>
        </w:tc>
        <w:tc>
          <w:tcPr>
            <w:tcW w:w="8843" w:type="dxa"/>
          </w:tcPr>
          <w:p w14:paraId="58AB915A" w14:textId="77777777" w:rsidR="00FB3D09" w:rsidRPr="00B7761D"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MODELLEZETT HITEL-EGYENÉRTÉKESÍTÉSI TÉNYEZŐK</w:t>
            </w:r>
          </w:p>
          <w:p w14:paraId="48F41598" w14:textId="77777777" w:rsidR="00FB3D09" w:rsidRPr="00E438EB" w:rsidRDefault="00FB3D09" w:rsidP="00822842">
            <w:pPr>
              <w:pStyle w:val="InstructionsText"/>
              <w:rPr>
                <w:rStyle w:val="InstructionsTabelleberschrift"/>
                <w:rFonts w:ascii="Times New Roman" w:hAnsi="Times New Roman"/>
                <w:b w:val="0"/>
                <w:sz w:val="24"/>
                <w:u w:val="none"/>
              </w:rPr>
            </w:pPr>
            <w:r>
              <w:t>Az 575/2013/EU rendelet 166. cikkének (8b) és (8c) bekezdése, valamint 182. cikke.</w:t>
            </w:r>
          </w:p>
        </w:tc>
      </w:tr>
      <w:tr w:rsidR="00FB3D09" w:rsidRPr="002A677E" w14:paraId="723ED349" w14:textId="77777777" w:rsidTr="00822842">
        <w:tc>
          <w:tcPr>
            <w:tcW w:w="1188" w:type="dxa"/>
          </w:tcPr>
          <w:p w14:paraId="64882817" w14:textId="77777777" w:rsidR="00FB3D09" w:rsidRDefault="00FB3D09" w:rsidP="00822842">
            <w:pPr>
              <w:rPr>
                <w:rFonts w:ascii="Times New Roman" w:hAnsi="Times New Roman"/>
                <w:sz w:val="24"/>
              </w:rPr>
            </w:pPr>
            <w:r>
              <w:rPr>
                <w:rFonts w:ascii="Times New Roman" w:hAnsi="Times New Roman"/>
                <w:sz w:val="24"/>
              </w:rPr>
              <w:t>0102–0107</w:t>
            </w:r>
          </w:p>
        </w:tc>
        <w:tc>
          <w:tcPr>
            <w:tcW w:w="8843" w:type="dxa"/>
          </w:tcPr>
          <w:p w14:paraId="5676D624" w14:textId="77777777" w:rsidR="00FB3D09" w:rsidRPr="00B7761D"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SZTENDERD HITEL-EGYENÉRTÉKESÍTÉSI TÉNYEZŐK</w:t>
            </w:r>
          </w:p>
          <w:p w14:paraId="2802107A" w14:textId="77777777" w:rsidR="00FB3D09" w:rsidRPr="00433E67" w:rsidRDefault="00FB3D09" w:rsidP="00822842">
            <w:pPr>
              <w:rPr>
                <w:rStyle w:val="InstructionsTabelleberschrift"/>
                <w:rFonts w:ascii="Times New Roman" w:hAnsi="Times New Roman"/>
                <w:sz w:val="24"/>
              </w:rPr>
            </w:pPr>
            <w:r>
              <w:rPr>
                <w:rFonts w:ascii="Times New Roman" w:hAnsi="Times New Roman"/>
                <w:sz w:val="24"/>
              </w:rPr>
              <w:t>Az 575/2013/EU rendelet 166. cikkének (8a) bekezdése.</w:t>
            </w:r>
          </w:p>
        </w:tc>
      </w:tr>
      <w:tr w:rsidR="00FB3D09" w:rsidRPr="002A677E" w14:paraId="72A515B8" w14:textId="77777777" w:rsidTr="00822842">
        <w:tc>
          <w:tcPr>
            <w:tcW w:w="1188" w:type="dxa"/>
          </w:tcPr>
          <w:p w14:paraId="6F3C95D9" w14:textId="77777777" w:rsidR="00FB3D09" w:rsidRPr="002A677E" w:rsidRDefault="00FB3D09" w:rsidP="00822842">
            <w:pPr>
              <w:rPr>
                <w:rFonts w:ascii="Times New Roman" w:hAnsi="Times New Roman"/>
                <w:sz w:val="24"/>
              </w:rPr>
            </w:pPr>
            <w:r>
              <w:rPr>
                <w:rFonts w:ascii="Times New Roman" w:hAnsi="Times New Roman"/>
                <w:sz w:val="24"/>
              </w:rPr>
              <w:t>0110</w:t>
            </w:r>
          </w:p>
        </w:tc>
        <w:tc>
          <w:tcPr>
            <w:tcW w:w="8843" w:type="dxa"/>
          </w:tcPr>
          <w:p w14:paraId="024D894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KITETTSÉGÉRTÉK</w:t>
            </w:r>
          </w:p>
          <w:p w14:paraId="7397AAAD" w14:textId="77777777" w:rsidR="00FB3D09" w:rsidRPr="002A677E" w:rsidRDefault="00FB3D09" w:rsidP="00822842">
            <w:pPr>
              <w:rPr>
                <w:rFonts w:ascii="Times New Roman" w:hAnsi="Times New Roman"/>
                <w:sz w:val="24"/>
              </w:rPr>
            </w:pPr>
            <w:r>
              <w:rPr>
                <w:rFonts w:ascii="Times New Roman" w:hAnsi="Times New Roman"/>
                <w:sz w:val="24"/>
              </w:rPr>
              <w:t>Az 575/2013/EU rendelet 166. cikkének, valamint 230. cikke (1) bekezdése második mondatának megfelelően meghatározott kitettségértékeket kell feltüntetni.</w:t>
            </w:r>
          </w:p>
          <w:p w14:paraId="1C7B98CD" w14:textId="775FF974" w:rsidR="00FB3D09" w:rsidRPr="002A677E" w:rsidRDefault="00FB3D09" w:rsidP="00822842">
            <w:pPr>
              <w:rPr>
                <w:rFonts w:ascii="Times New Roman" w:hAnsi="Times New Roman"/>
                <w:sz w:val="24"/>
              </w:rPr>
            </w:pPr>
            <w:r>
              <w:rPr>
                <w:rFonts w:ascii="Times New Roman" w:hAnsi="Times New Roman"/>
                <w:sz w:val="24"/>
              </w:rPr>
              <w:t>Az I. mellékletben említett instrumentumok esetében az 575/2013/EU rendelet 166. cikkének (8) és (9) bekezdése szerinti hitel-egyenértékesítési tényezőket és százalékos arányokat kell alkalmazni, függetlenül az intézmény által választott módszertől.</w:t>
            </w:r>
          </w:p>
          <w:p w14:paraId="4CA1B4E2" w14:textId="77777777" w:rsidR="00FB3D09" w:rsidRPr="002A677E" w:rsidRDefault="00FB3D09" w:rsidP="00822842">
            <w:pPr>
              <w:rPr>
                <w:rFonts w:ascii="Times New Roman" w:hAnsi="Times New Roman"/>
                <w:sz w:val="24"/>
              </w:rPr>
            </w:pPr>
            <w:r>
              <w:rPr>
                <w:rFonts w:ascii="Times New Roman" w:hAnsi="Times New Roman"/>
                <w:sz w:val="24"/>
              </w:rPr>
              <w:t>A partnerkockázattal érintett kitettségek értékeinek meg kell egyezniük a 0130-es oszlopban megadott értékekkel.</w:t>
            </w:r>
          </w:p>
        </w:tc>
      </w:tr>
      <w:tr w:rsidR="00FB3D09" w:rsidRPr="002A677E" w14:paraId="7E1EABB6" w14:textId="77777777" w:rsidTr="00822842">
        <w:tc>
          <w:tcPr>
            <w:tcW w:w="1188" w:type="dxa"/>
          </w:tcPr>
          <w:p w14:paraId="423F28F5" w14:textId="77777777" w:rsidR="00FB3D09" w:rsidRPr="002A677E" w:rsidRDefault="00FB3D09" w:rsidP="00822842">
            <w:pPr>
              <w:rPr>
                <w:rFonts w:ascii="Times New Roman" w:hAnsi="Times New Roman"/>
                <w:sz w:val="24"/>
              </w:rPr>
            </w:pPr>
            <w:r>
              <w:rPr>
                <w:rFonts w:ascii="Times New Roman" w:hAnsi="Times New Roman"/>
                <w:sz w:val="24"/>
              </w:rPr>
              <w:t>0130</w:t>
            </w:r>
          </w:p>
        </w:tc>
        <w:tc>
          <w:tcPr>
            <w:tcW w:w="8843" w:type="dxa"/>
          </w:tcPr>
          <w:p w14:paraId="0C131540"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 xml:space="preserve">Ebből: Partnerkockázatból származó </w:t>
            </w:r>
          </w:p>
          <w:p w14:paraId="5322EE59" w14:textId="77777777" w:rsidR="00FB3D09" w:rsidRPr="002A677E" w:rsidRDefault="00FB3D09" w:rsidP="00822842">
            <w:pPr>
              <w:rPr>
                <w:rFonts w:ascii="Times New Roman" w:hAnsi="Times New Roman"/>
                <w:sz w:val="24"/>
              </w:rPr>
            </w:pPr>
            <w:r>
              <w:rPr>
                <w:rFonts w:ascii="Times New Roman" w:hAnsi="Times New Roman"/>
                <w:sz w:val="24"/>
              </w:rPr>
              <w:t>Lásd a megfelelő CR SA útmutatást a 0210-es oszlopban.</w:t>
            </w:r>
            <w:r>
              <w:rPr>
                <w:rStyle w:val="InstructionsTabelleText"/>
                <w:rFonts w:ascii="Times New Roman" w:hAnsi="Times New Roman"/>
                <w:sz w:val="24"/>
              </w:rPr>
              <w:t xml:space="preserve"> </w:t>
            </w:r>
          </w:p>
        </w:tc>
      </w:tr>
      <w:tr w:rsidR="00FB3D09" w:rsidRPr="002A677E" w14:paraId="5236CDCC" w14:textId="77777777" w:rsidTr="00822842">
        <w:tc>
          <w:tcPr>
            <w:tcW w:w="1188" w:type="dxa"/>
          </w:tcPr>
          <w:p w14:paraId="79AE6E15" w14:textId="77777777" w:rsidR="00FB3D09" w:rsidRPr="002A677E" w:rsidRDefault="00FB3D09" w:rsidP="00822842">
            <w:pPr>
              <w:rPr>
                <w:rFonts w:ascii="Times New Roman" w:hAnsi="Times New Roman"/>
                <w:sz w:val="24"/>
              </w:rPr>
            </w:pPr>
            <w:r>
              <w:rPr>
                <w:rFonts w:ascii="Times New Roman" w:hAnsi="Times New Roman"/>
                <w:sz w:val="24"/>
              </w:rPr>
              <w:lastRenderedPageBreak/>
              <w:t>0140</w:t>
            </w:r>
          </w:p>
        </w:tc>
        <w:tc>
          <w:tcPr>
            <w:tcW w:w="8843" w:type="dxa"/>
          </w:tcPr>
          <w:p w14:paraId="33C21D55"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EBBŐL: NAGY MÉRETŰ PÉNZÜGYI ÁGAZATBELI SZERVEZETEK ÉS NEM SZABÁLYOZOTT PÉNZÜGYI ÁGAZATBELI SZERVEZETEK</w:t>
            </w:r>
          </w:p>
          <w:p w14:paraId="38EC098A" w14:textId="77777777" w:rsidR="00FB3D09" w:rsidRPr="002A677E" w:rsidRDefault="00FB3D09" w:rsidP="00822842">
            <w:pPr>
              <w:rPr>
                <w:rFonts w:ascii="Times New Roman" w:hAnsi="Times New Roman"/>
                <w:b/>
                <w:sz w:val="24"/>
                <w:u w:val="single"/>
              </w:rPr>
            </w:pPr>
            <w:r>
              <w:rPr>
                <w:rFonts w:ascii="Times New Roman" w:hAnsi="Times New Roman"/>
                <w:sz w:val="24"/>
              </w:rPr>
              <w:t>Az 575/2013/EU rendelet 142. cikke (1) bekezdésének 4. és 5. pontjában említett szervezetekkel szembeni összes azon kitettség értékének bontása, amelyre az említett rendelet 153. cikkének (2) bekezdése szerint meghatározott magasabb korrelációs együttható alkalmazandó.</w:t>
            </w:r>
          </w:p>
        </w:tc>
      </w:tr>
      <w:tr w:rsidR="00FB3D09" w:rsidRPr="002A677E" w14:paraId="5C3F07BE" w14:textId="77777777" w:rsidTr="00822842">
        <w:trPr>
          <w:trHeight w:val="708"/>
        </w:trPr>
        <w:tc>
          <w:tcPr>
            <w:tcW w:w="1188" w:type="dxa"/>
          </w:tcPr>
          <w:p w14:paraId="1B81DCB5" w14:textId="77777777" w:rsidR="00FB3D09" w:rsidRPr="002A677E" w:rsidDel="001D4BE0" w:rsidRDefault="00FB3D09" w:rsidP="00822842">
            <w:pPr>
              <w:rPr>
                <w:rFonts w:ascii="Times New Roman" w:hAnsi="Times New Roman"/>
                <w:sz w:val="24"/>
              </w:rPr>
            </w:pPr>
            <w:r>
              <w:rPr>
                <w:rFonts w:ascii="Times New Roman" w:hAnsi="Times New Roman"/>
                <w:sz w:val="24"/>
              </w:rPr>
              <w:t>0150–0210</w:t>
            </w:r>
          </w:p>
        </w:tc>
        <w:tc>
          <w:tcPr>
            <w:tcW w:w="8843" w:type="dxa"/>
          </w:tcPr>
          <w:p w14:paraId="5FFCDE2C" w14:textId="37F1BD92"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AZ LGD-BECSLÉSEK SORÁN FIGYELEMBE VETT HITELKOCKÁZAT-MÉRSÉKLÉSI TECHNIKÁK </w:t>
            </w:r>
          </w:p>
          <w:p w14:paraId="02E436B3" w14:textId="77777777" w:rsidR="00FB3D09" w:rsidRDefault="00FB3D09" w:rsidP="00822842">
            <w:pPr>
              <w:rPr>
                <w:rFonts w:ascii="Times New Roman" w:hAnsi="Times New Roman"/>
                <w:sz w:val="24"/>
              </w:rPr>
            </w:pPr>
            <w:r>
              <w:rPr>
                <w:rFonts w:ascii="Times New Roman" w:hAnsi="Times New Roman"/>
                <w:sz w:val="24"/>
              </w:rPr>
              <w:t>Ezekben az oszlopokban nem tüntethetők fel azok a hitelkockázat-mérséklési technikák, amelyek e technikák helyettesítési hatásának alkalmazásából adódóan befolyásolják az LGD-becsléseket.</w:t>
            </w:r>
          </w:p>
          <w:p w14:paraId="0813160C" w14:textId="77777777" w:rsidR="00FB3D09" w:rsidRPr="002A677E" w:rsidRDefault="00FB3D09" w:rsidP="00822842">
            <w:pPr>
              <w:rPr>
                <w:rFonts w:ascii="Times New Roman" w:hAnsi="Times New Roman"/>
                <w:sz w:val="24"/>
              </w:rPr>
            </w:pPr>
            <w:r>
              <w:rPr>
                <w:rFonts w:ascii="Times New Roman" w:hAnsi="Times New Roman"/>
                <w:sz w:val="24"/>
              </w:rPr>
              <w:t>A feltüntetett biztosítéki értéket a kitettségértékben kell maximálni.</w:t>
            </w:r>
          </w:p>
          <w:p w14:paraId="5F41737F" w14:textId="02BF2E74" w:rsidR="00FB3D09" w:rsidRPr="002A677E" w:rsidRDefault="00FB3D09" w:rsidP="00822842">
            <w:pPr>
              <w:rPr>
                <w:rFonts w:ascii="Times New Roman" w:hAnsi="Times New Roman"/>
                <w:sz w:val="24"/>
              </w:rPr>
            </w:pPr>
            <w:r>
              <w:rPr>
                <w:rFonts w:ascii="Times New Roman" w:hAnsi="Times New Roman"/>
                <w:sz w:val="24"/>
              </w:rPr>
              <w:t>Ha az intézmény nem alkalmaz saját LGD-becslést, akkor az 575/2013/EU rendelet 230. cikkének (1), (2) és (4) bekezdését, valamint 231. cikkét kell figyelembe venni.</w:t>
            </w:r>
          </w:p>
          <w:p w14:paraId="6CF8B541" w14:textId="77777777" w:rsidR="00FB3D09" w:rsidRPr="002A677E" w:rsidRDefault="00FB3D09" w:rsidP="00822842">
            <w:pPr>
              <w:rPr>
                <w:rFonts w:ascii="Times New Roman" w:hAnsi="Times New Roman"/>
                <w:sz w:val="24"/>
              </w:rPr>
            </w:pPr>
            <w:r>
              <w:rPr>
                <w:rFonts w:ascii="Times New Roman" w:hAnsi="Times New Roman"/>
                <w:sz w:val="24"/>
              </w:rPr>
              <w:t xml:space="preserve">Ha az intézmény saját LGD-becslést alkalmaz: </w:t>
            </w:r>
          </w:p>
          <w:p w14:paraId="1C4E5F46" w14:textId="77777777" w:rsidR="00FB3D09" w:rsidRPr="002A677E" w:rsidRDefault="00FB3D09" w:rsidP="00822842">
            <w:pPr>
              <w:rPr>
                <w:rFonts w:ascii="Times New Roman" w:hAnsi="Times New Roman"/>
                <w:sz w:val="24"/>
              </w:rPr>
            </w:pPr>
            <w:r>
              <w:rPr>
                <w:rFonts w:ascii="Times New Roman" w:hAnsi="Times New Roman"/>
                <w:sz w:val="24"/>
              </w:rPr>
              <w:t>Az előre nem rendelkezésre bocsátott hitelkockázati fedezetet illetően a központi kormányzattal, központi bankkal, intézményekkel és vállalkozásokkal szembeni kitettségek esetében az 575/2013/EU rendelet 161. cikkének (3) bekezdését kell figyelembe venni. Lakossággal szembeni kitettségek esetében az 575/2013/EU rendelet 164. cikkének (2) bekezdését kell figyelembe venni.</w:t>
            </w:r>
          </w:p>
          <w:p w14:paraId="05A9C033" w14:textId="77777777" w:rsidR="00FB3D09" w:rsidRPr="002A677E" w:rsidRDefault="00FB3D09" w:rsidP="00822842">
            <w:pPr>
              <w:rPr>
                <w:rFonts w:ascii="Times New Roman" w:hAnsi="Times New Roman"/>
                <w:b/>
                <w:sz w:val="24"/>
                <w:u w:val="single"/>
              </w:rPr>
            </w:pPr>
            <w:r>
              <w:rPr>
                <w:rFonts w:ascii="Times New Roman" w:hAnsi="Times New Roman"/>
                <w:sz w:val="24"/>
              </w:rPr>
              <w:t>Az előre rendelkezésre bocsátott hitelkockázati fedezetet illetően az LGD-becslés során az 575/2013/EU rendelet 181. cikke (1) bekezdésének e) és f) pontjának megfelelően a biztosítékot kell figyelembe venni.</w:t>
            </w:r>
          </w:p>
        </w:tc>
      </w:tr>
      <w:tr w:rsidR="00FB3D09" w:rsidRPr="002A677E" w14:paraId="4CC8BF71" w14:textId="77777777" w:rsidTr="00822842">
        <w:trPr>
          <w:trHeight w:val="957"/>
        </w:trPr>
        <w:tc>
          <w:tcPr>
            <w:tcW w:w="1188" w:type="dxa"/>
          </w:tcPr>
          <w:p w14:paraId="7918EC18" w14:textId="77777777" w:rsidR="00FB3D09" w:rsidRPr="002A677E" w:rsidRDefault="00FB3D09" w:rsidP="00822842">
            <w:pPr>
              <w:rPr>
                <w:rFonts w:ascii="Times New Roman" w:hAnsi="Times New Roman"/>
                <w:sz w:val="24"/>
              </w:rPr>
            </w:pPr>
            <w:r>
              <w:rPr>
                <w:rFonts w:ascii="Times New Roman" w:hAnsi="Times New Roman"/>
                <w:sz w:val="24"/>
              </w:rPr>
              <w:t>0150</w:t>
            </w:r>
          </w:p>
        </w:tc>
        <w:tc>
          <w:tcPr>
            <w:tcW w:w="8843" w:type="dxa"/>
          </w:tcPr>
          <w:p w14:paraId="4C26606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GARANCIÁK </w:t>
            </w:r>
          </w:p>
          <w:p w14:paraId="774C7F9E" w14:textId="77777777" w:rsidR="00FB3D09" w:rsidRPr="002A677E" w:rsidRDefault="00FB3D09" w:rsidP="00822842">
            <w:pPr>
              <w:jc w:val="left"/>
              <w:rPr>
                <w:rFonts w:ascii="Times New Roman" w:hAnsi="Times New Roman"/>
                <w:b/>
                <w:sz w:val="24"/>
                <w:u w:val="single"/>
              </w:rPr>
            </w:pPr>
            <w:r>
              <w:rPr>
                <w:rFonts w:ascii="Times New Roman" w:hAnsi="Times New Roman"/>
                <w:sz w:val="24"/>
              </w:rPr>
              <w:t>Lásd a 0040-es oszlopra vonatkozó útmutatást.</w:t>
            </w:r>
          </w:p>
        </w:tc>
      </w:tr>
      <w:tr w:rsidR="00FB3D09" w:rsidRPr="002A677E" w14:paraId="052C8B55" w14:textId="77777777" w:rsidTr="00822842">
        <w:tc>
          <w:tcPr>
            <w:tcW w:w="1188" w:type="dxa"/>
          </w:tcPr>
          <w:p w14:paraId="4C653362" w14:textId="77777777" w:rsidR="00FB3D09" w:rsidRPr="002A677E" w:rsidRDefault="00FB3D09" w:rsidP="00822842">
            <w:pPr>
              <w:rPr>
                <w:rFonts w:ascii="Times New Roman" w:hAnsi="Times New Roman"/>
                <w:sz w:val="24"/>
              </w:rPr>
            </w:pPr>
            <w:r>
              <w:rPr>
                <w:rFonts w:ascii="Times New Roman" w:hAnsi="Times New Roman"/>
                <w:sz w:val="24"/>
              </w:rPr>
              <w:t>0160</w:t>
            </w:r>
          </w:p>
        </w:tc>
        <w:tc>
          <w:tcPr>
            <w:tcW w:w="8843" w:type="dxa"/>
          </w:tcPr>
          <w:p w14:paraId="61710E9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HITELDERIVATÍVÁK </w:t>
            </w:r>
          </w:p>
          <w:p w14:paraId="4948B3F5" w14:textId="77777777" w:rsidR="00FB3D09" w:rsidRPr="002A677E" w:rsidRDefault="00FB3D09" w:rsidP="00822842">
            <w:pPr>
              <w:rPr>
                <w:rFonts w:ascii="Times New Roman" w:hAnsi="Times New Roman"/>
                <w:sz w:val="24"/>
              </w:rPr>
            </w:pPr>
            <w:r>
              <w:rPr>
                <w:rFonts w:ascii="Times New Roman" w:hAnsi="Times New Roman"/>
                <w:sz w:val="24"/>
              </w:rPr>
              <w:t>Lásd a 0050-es oszlopra vonatkozó útmutatást.</w:t>
            </w:r>
          </w:p>
        </w:tc>
      </w:tr>
      <w:tr w:rsidR="00FB3D09" w14:paraId="66ECA0F4" w14:textId="77777777" w:rsidTr="00822842">
        <w:trPr>
          <w:trHeight w:val="300"/>
        </w:trPr>
        <w:tc>
          <w:tcPr>
            <w:tcW w:w="1188" w:type="dxa"/>
          </w:tcPr>
          <w:p w14:paraId="18EA00BE" w14:textId="77777777" w:rsidR="00FB3D09" w:rsidRDefault="00FB3D09" w:rsidP="00822842">
            <w:pPr>
              <w:rPr>
                <w:rFonts w:ascii="Times New Roman" w:hAnsi="Times New Roman"/>
                <w:sz w:val="24"/>
              </w:rPr>
            </w:pPr>
            <w:r>
              <w:rPr>
                <w:rFonts w:ascii="Times New Roman" w:hAnsi="Times New Roman"/>
                <w:sz w:val="24"/>
              </w:rPr>
              <w:t>0170–0210</w:t>
            </w:r>
          </w:p>
        </w:tc>
        <w:tc>
          <w:tcPr>
            <w:tcW w:w="8843" w:type="dxa"/>
          </w:tcPr>
          <w:p w14:paraId="642B29BA" w14:textId="77777777" w:rsidR="00FB3D09" w:rsidRDefault="00FB3D09" w:rsidP="00822842">
            <w:pPr>
              <w:rPr>
                <w:rFonts w:ascii="Times New Roman" w:hAnsi="Times New Roman"/>
                <w:b/>
                <w:bCs/>
                <w:sz w:val="24"/>
                <w:u w:val="single"/>
              </w:rPr>
            </w:pPr>
            <w:r>
              <w:rPr>
                <w:rFonts w:ascii="Times New Roman" w:hAnsi="Times New Roman"/>
                <w:b/>
                <w:sz w:val="24"/>
                <w:u w:val="single"/>
              </w:rPr>
              <w:t>ELŐRE RENDELKEZÉSRE BOCSÁTOTT HITELKOCKÁZATI FEDEZET</w:t>
            </w:r>
          </w:p>
        </w:tc>
      </w:tr>
      <w:tr w:rsidR="00FB3D09" w:rsidRPr="002A677E" w14:paraId="4AF255C0" w14:textId="77777777" w:rsidTr="00822842">
        <w:tc>
          <w:tcPr>
            <w:tcW w:w="1188" w:type="dxa"/>
          </w:tcPr>
          <w:p w14:paraId="1EE7AF6C" w14:textId="77777777" w:rsidR="00FB3D09" w:rsidRPr="002A677E" w:rsidRDefault="00FB3D09" w:rsidP="00822842">
            <w:pPr>
              <w:rPr>
                <w:rFonts w:ascii="Times New Roman" w:hAnsi="Times New Roman"/>
                <w:sz w:val="24"/>
              </w:rPr>
            </w:pPr>
            <w:r>
              <w:rPr>
                <w:rFonts w:ascii="Times New Roman" w:hAnsi="Times New Roman"/>
                <w:sz w:val="24"/>
              </w:rPr>
              <w:t>0170–0173</w:t>
            </w:r>
          </w:p>
        </w:tc>
        <w:tc>
          <w:tcPr>
            <w:tcW w:w="8843" w:type="dxa"/>
          </w:tcPr>
          <w:p w14:paraId="39418299"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SAJÁT LGD-BECSLÉS ALKALMAZÁSA: EGYÉB ELŐRE RENDELKEZÉSRE BOCSÁTOTT HITELKOCKÁZATI FEDEZET </w:t>
            </w:r>
          </w:p>
          <w:p w14:paraId="213C028C" w14:textId="77777777" w:rsidR="00FB3D09" w:rsidRPr="000059B8" w:rsidRDefault="00FB3D09" w:rsidP="00822842">
            <w:pPr>
              <w:rPr>
                <w:rStyle w:val="InstructionsTabelleText"/>
                <w:rFonts w:ascii="Times New Roman" w:hAnsi="Times New Roman"/>
                <w:sz w:val="24"/>
              </w:rPr>
            </w:pPr>
            <w:r>
              <w:rPr>
                <w:rStyle w:val="InstructionsTabelleText"/>
                <w:rFonts w:ascii="Times New Roman" w:hAnsi="Times New Roman"/>
                <w:sz w:val="24"/>
              </w:rPr>
              <w:t>Az 575/2013/EU rendelet 181. cikkének e) és f) pontja</w:t>
            </w:r>
          </w:p>
          <w:p w14:paraId="163A7BF8"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Az intézmény belső modelljében alkalmazott vonatkozó érték.</w:t>
            </w:r>
          </w:p>
          <w:p w14:paraId="5CB29B07" w14:textId="77777777" w:rsidR="00FB3D09" w:rsidRPr="002A677E" w:rsidRDefault="00FB3D09" w:rsidP="00822842">
            <w:pPr>
              <w:rPr>
                <w:rFonts w:ascii="Times New Roman" w:hAnsi="Times New Roman"/>
                <w:sz w:val="24"/>
              </w:rPr>
            </w:pPr>
            <w:r>
              <w:rPr>
                <w:rFonts w:ascii="Times New Roman" w:hAnsi="Times New Roman"/>
                <w:sz w:val="24"/>
              </w:rPr>
              <w:t xml:space="preserve">Az 575/2013/EU rendelet 212. cikkében megadott kritériumokat teljesítő hitelkockázat-mérséklő eszközök. </w:t>
            </w:r>
          </w:p>
        </w:tc>
      </w:tr>
      <w:tr w:rsidR="00FB3D09" w:rsidRPr="002A677E" w14:paraId="75F84050" w14:textId="77777777" w:rsidTr="00822842">
        <w:tc>
          <w:tcPr>
            <w:tcW w:w="1188" w:type="dxa"/>
          </w:tcPr>
          <w:p w14:paraId="4DD08A67" w14:textId="77777777" w:rsidR="00FB3D09" w:rsidRPr="002A677E" w:rsidRDefault="00FB3D09" w:rsidP="00822842">
            <w:pPr>
              <w:rPr>
                <w:rFonts w:ascii="Times New Roman" w:hAnsi="Times New Roman"/>
                <w:sz w:val="24"/>
              </w:rPr>
            </w:pPr>
            <w:r>
              <w:rPr>
                <w:rFonts w:ascii="Times New Roman" w:hAnsi="Times New Roman"/>
                <w:sz w:val="24"/>
              </w:rPr>
              <w:t>0171</w:t>
            </w:r>
          </w:p>
        </w:tc>
        <w:tc>
          <w:tcPr>
            <w:tcW w:w="8843" w:type="dxa"/>
          </w:tcPr>
          <w:p w14:paraId="545A819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KÉSZPÉNZLETÉT</w:t>
            </w:r>
          </w:p>
          <w:p w14:paraId="2F2A2E1C" w14:textId="77777777" w:rsidR="00FB3D09" w:rsidRPr="002A677E" w:rsidRDefault="00FB3D09" w:rsidP="00822842">
            <w:pPr>
              <w:rPr>
                <w:rFonts w:ascii="Times New Roman" w:hAnsi="Times New Roman"/>
                <w:sz w:val="24"/>
              </w:rPr>
            </w:pPr>
            <w:r>
              <w:rPr>
                <w:rFonts w:ascii="Times New Roman" w:hAnsi="Times New Roman"/>
                <w:sz w:val="24"/>
              </w:rPr>
              <w:t xml:space="preserve">Az 575/2013/EU rendelet 200. cikkének a) pontja. </w:t>
            </w:r>
          </w:p>
          <w:p w14:paraId="0037C11E" w14:textId="77777777" w:rsidR="00FB3D09" w:rsidRPr="002A677E" w:rsidRDefault="00FB3D09" w:rsidP="00822842">
            <w:pPr>
              <w:rPr>
                <w:rFonts w:ascii="Times New Roman" w:hAnsi="Times New Roman"/>
                <w:b/>
                <w:sz w:val="24"/>
                <w:u w:val="single"/>
              </w:rPr>
            </w:pPr>
            <w:r>
              <w:rPr>
                <w:rFonts w:ascii="Times New Roman" w:hAnsi="Times New Roman"/>
                <w:sz w:val="24"/>
              </w:rPr>
              <w:lastRenderedPageBreak/>
              <w:t>Harmadik fél intézménynél nem letétkezelői megállapodás révén, a hitelnyújtó intézmény zálogjogával terhelten elhelyezett készpénzbetét vagy készpénzjellegű instrumentum. A biztosíték feltüntetett értéke nem haladhatja meg az egyedi kitettség szintjén fennálló kitettség értékét.</w:t>
            </w:r>
          </w:p>
        </w:tc>
      </w:tr>
      <w:tr w:rsidR="00FB3D09" w:rsidRPr="002A677E" w14:paraId="6605DFE4" w14:textId="77777777" w:rsidTr="00822842">
        <w:tc>
          <w:tcPr>
            <w:tcW w:w="1188" w:type="dxa"/>
          </w:tcPr>
          <w:p w14:paraId="4FC8218B" w14:textId="77777777" w:rsidR="00FB3D09" w:rsidRPr="002A677E" w:rsidRDefault="00FB3D09" w:rsidP="00822842">
            <w:pPr>
              <w:rPr>
                <w:rFonts w:ascii="Times New Roman" w:hAnsi="Times New Roman"/>
                <w:sz w:val="24"/>
              </w:rPr>
            </w:pPr>
            <w:r>
              <w:rPr>
                <w:rFonts w:ascii="Times New Roman" w:hAnsi="Times New Roman"/>
                <w:sz w:val="24"/>
              </w:rPr>
              <w:lastRenderedPageBreak/>
              <w:t>0172</w:t>
            </w:r>
          </w:p>
        </w:tc>
        <w:tc>
          <w:tcPr>
            <w:tcW w:w="8843" w:type="dxa"/>
          </w:tcPr>
          <w:p w14:paraId="4BBBA9B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ÉLETBIZTOSÍTÁSI KÖTVÉNYEK</w:t>
            </w:r>
          </w:p>
          <w:p w14:paraId="796996C2" w14:textId="77777777" w:rsidR="00FB3D09" w:rsidRPr="002A677E" w:rsidRDefault="00FB3D09" w:rsidP="00822842">
            <w:pPr>
              <w:rPr>
                <w:rFonts w:ascii="Times New Roman" w:hAnsi="Times New Roman"/>
                <w:sz w:val="24"/>
              </w:rPr>
            </w:pPr>
            <w:r>
              <w:rPr>
                <w:rFonts w:ascii="Times New Roman" w:hAnsi="Times New Roman"/>
                <w:sz w:val="24"/>
              </w:rPr>
              <w:t xml:space="preserve">Az 575/2013/EU rendelet 200. cikkének b) pontja. </w:t>
            </w:r>
          </w:p>
          <w:p w14:paraId="62C977CD" w14:textId="77777777" w:rsidR="00FB3D09" w:rsidRPr="002A677E" w:rsidRDefault="00FB3D09" w:rsidP="00822842">
            <w:pPr>
              <w:rPr>
                <w:rFonts w:ascii="Times New Roman" w:hAnsi="Times New Roman"/>
                <w:b/>
                <w:sz w:val="24"/>
                <w:u w:val="single"/>
              </w:rPr>
            </w:pPr>
            <w:r>
              <w:rPr>
                <w:rFonts w:ascii="Times New Roman" w:hAnsi="Times New Roman"/>
                <w:sz w:val="24"/>
              </w:rPr>
              <w:t>A biztosíték feltüntetett értéke nem haladhatja meg az egyedi kitettség szintjén fennálló kitettség értékét.</w:t>
            </w:r>
          </w:p>
        </w:tc>
      </w:tr>
      <w:tr w:rsidR="00FB3D09" w:rsidRPr="002A677E" w14:paraId="12F298DE" w14:textId="77777777" w:rsidTr="00822842">
        <w:tc>
          <w:tcPr>
            <w:tcW w:w="1188" w:type="dxa"/>
          </w:tcPr>
          <w:p w14:paraId="0A6B27AA" w14:textId="77777777" w:rsidR="00FB3D09" w:rsidRPr="002A677E" w:rsidRDefault="00FB3D09" w:rsidP="00822842">
            <w:pPr>
              <w:rPr>
                <w:rFonts w:ascii="Times New Roman" w:hAnsi="Times New Roman"/>
                <w:sz w:val="24"/>
              </w:rPr>
            </w:pPr>
            <w:r>
              <w:rPr>
                <w:rFonts w:ascii="Times New Roman" w:hAnsi="Times New Roman"/>
                <w:sz w:val="24"/>
              </w:rPr>
              <w:t>0173</w:t>
            </w:r>
          </w:p>
        </w:tc>
        <w:tc>
          <w:tcPr>
            <w:tcW w:w="8843" w:type="dxa"/>
          </w:tcPr>
          <w:p w14:paraId="4BDD659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HARMADIK FÉL ÁLTAL BIRTOKOLT INSTRUMENTUMOK</w:t>
            </w:r>
          </w:p>
          <w:p w14:paraId="078E7074" w14:textId="77777777" w:rsidR="00FB3D09" w:rsidRPr="002A677E" w:rsidRDefault="00FB3D09" w:rsidP="00822842">
            <w:pPr>
              <w:rPr>
                <w:rFonts w:ascii="Times New Roman" w:hAnsi="Times New Roman"/>
                <w:sz w:val="24"/>
              </w:rPr>
            </w:pPr>
            <w:r>
              <w:rPr>
                <w:rFonts w:ascii="Times New Roman" w:hAnsi="Times New Roman"/>
                <w:sz w:val="24"/>
              </w:rPr>
              <w:t xml:space="preserve">Az 575/2013/EU rendelet 200. cikkének c) pontja. </w:t>
            </w:r>
          </w:p>
          <w:p w14:paraId="7E7CC085" w14:textId="77777777" w:rsidR="00FB3D09" w:rsidRPr="002A677E" w:rsidRDefault="00FB3D09" w:rsidP="00822842">
            <w:pPr>
              <w:rPr>
                <w:rFonts w:ascii="Times New Roman" w:hAnsi="Times New Roman"/>
                <w:b/>
                <w:sz w:val="24"/>
                <w:u w:val="single"/>
              </w:rPr>
            </w:pPr>
            <w:r>
              <w:rPr>
                <w:rFonts w:ascii="Times New Roman" w:hAnsi="Times New Roman"/>
                <w:sz w:val="24"/>
              </w:rPr>
              <w:t>Ez magában foglalja egy harmadik fél intézmény által kibocsátott értékpapírokat, amelyeket felszólításra az adott intézmény visszavásárol. A biztosíték feltüntetett értéke nem haladhatja meg az egyedi kitettség szintjén fennálló kitettség értékét. Ebbe az oszlopba nem tartoznak bele azok a harmadik fél által tartott instrumentumokkal fedezett kitettségek, amelyek esetében az intézmények az 575/2013/EU rendelet 232. cikkének (4) bekezdésével összhangban az említett rendelet 200. cikkének c) pontja szerint elismert, felszólításra visszavásárolt instrumentumokat a kibocsátó intézmény garanciájaként kezelik.</w:t>
            </w:r>
          </w:p>
        </w:tc>
      </w:tr>
      <w:tr w:rsidR="00FB3D09" w:rsidRPr="002A677E" w14:paraId="7F635CD0" w14:textId="77777777" w:rsidTr="00822842">
        <w:tc>
          <w:tcPr>
            <w:tcW w:w="1188" w:type="dxa"/>
          </w:tcPr>
          <w:p w14:paraId="7FDF3B82" w14:textId="77777777" w:rsidR="00FB3D09" w:rsidRPr="002A677E" w:rsidRDefault="00FB3D09" w:rsidP="00822842">
            <w:pPr>
              <w:rPr>
                <w:rFonts w:ascii="Times New Roman" w:hAnsi="Times New Roman"/>
                <w:sz w:val="24"/>
              </w:rPr>
            </w:pPr>
            <w:r>
              <w:rPr>
                <w:rFonts w:ascii="Times New Roman" w:hAnsi="Times New Roman"/>
                <w:sz w:val="24"/>
              </w:rPr>
              <w:t>0180</w:t>
            </w:r>
          </w:p>
        </w:tc>
        <w:tc>
          <w:tcPr>
            <w:tcW w:w="8843" w:type="dxa"/>
          </w:tcPr>
          <w:p w14:paraId="31FAF9A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ELISMERT PÉNZÜGYI BIZTOSÍTÉKOK</w:t>
            </w:r>
          </w:p>
          <w:p w14:paraId="0447D589" w14:textId="77777777" w:rsidR="00FB3D09" w:rsidRPr="002A677E" w:rsidRDefault="00FB3D09" w:rsidP="00822842">
            <w:pPr>
              <w:rPr>
                <w:rFonts w:ascii="Times New Roman" w:hAnsi="Times New Roman"/>
                <w:sz w:val="24"/>
              </w:rPr>
            </w:pPr>
            <w:r>
              <w:rPr>
                <w:rFonts w:ascii="Times New Roman" w:hAnsi="Times New Roman"/>
                <w:sz w:val="24"/>
              </w:rPr>
              <w:t>Kereskedési könyvben nyilvántartott műveletek esetében a tétel az 575/2013/EU rendelet 299. cikke (2) bekezdésének c)–f) pontja alapján a kereskedési könyvi kitettségekre vonatkozóan elismert pénzügyi instrumentumokat és árukat foglalja magában. A hitelkockázati eseményhez kapcsolt értékpapírokat és mérlegen belüli nettósítási pozíciókat az 575/2013/EU rendelet harmadik része II. címe 4. fejezetének 4. szakasza alapján készpénzbiztosítékként kell kezelni.</w:t>
            </w:r>
          </w:p>
          <w:p w14:paraId="52D78AC9" w14:textId="77777777" w:rsidR="00FB3D09" w:rsidRPr="002A677E" w:rsidRDefault="00FB3D09" w:rsidP="00822842">
            <w:pPr>
              <w:rPr>
                <w:rFonts w:ascii="Times New Roman" w:hAnsi="Times New Roman"/>
                <w:sz w:val="24"/>
              </w:rPr>
            </w:pPr>
            <w:r>
              <w:rPr>
                <w:rFonts w:ascii="Times New Roman" w:hAnsi="Times New Roman"/>
                <w:sz w:val="24"/>
              </w:rPr>
              <w:t>Amennyiben az intézmény nem alkalmaz saját LGD-becslést, az 575/2013/EU rendelet 197. cikke szerinti elismert pénzügyi biztosíték esetében az említett rendelet 223. cikkének (2) bekezdése szerinti kiigazított értéket (Cvam) kell feltüntetni.</w:t>
            </w:r>
          </w:p>
          <w:p w14:paraId="31F42CB1" w14:textId="77777777" w:rsidR="00FB3D09" w:rsidRPr="002A677E" w:rsidRDefault="00FB3D09" w:rsidP="00822842">
            <w:pPr>
              <w:rPr>
                <w:rFonts w:ascii="Times New Roman" w:hAnsi="Times New Roman"/>
                <w:b/>
                <w:sz w:val="24"/>
                <w:u w:val="single"/>
              </w:rPr>
            </w:pPr>
            <w:r>
              <w:rPr>
                <w:rFonts w:ascii="Times New Roman" w:hAnsi="Times New Roman"/>
                <w:sz w:val="24"/>
              </w:rPr>
              <w:t>Ha az intézmény saját LGD-becslést alkalmaz, az LGD-becslés során a pénzügyi biztosítékot az 575/2013/EU rendelet 181. cikke (1) bekezdésének e) és f) pontja szerint kell figyelembe venni. A feltüntetendő érték a biztosíték becsült piaci értéke.</w:t>
            </w:r>
          </w:p>
        </w:tc>
      </w:tr>
      <w:tr w:rsidR="00FB3D09" w:rsidRPr="002A677E" w14:paraId="175F5CB2" w14:textId="77777777" w:rsidTr="00822842">
        <w:tc>
          <w:tcPr>
            <w:tcW w:w="1188" w:type="dxa"/>
          </w:tcPr>
          <w:p w14:paraId="21EC8197" w14:textId="77777777" w:rsidR="00FB3D09" w:rsidRPr="002A677E" w:rsidDel="001D4BE0" w:rsidRDefault="00FB3D09" w:rsidP="00822842">
            <w:pPr>
              <w:rPr>
                <w:rFonts w:ascii="Times New Roman" w:hAnsi="Times New Roman"/>
                <w:sz w:val="24"/>
              </w:rPr>
            </w:pPr>
            <w:r>
              <w:rPr>
                <w:rFonts w:ascii="Times New Roman" w:hAnsi="Times New Roman"/>
                <w:sz w:val="24"/>
              </w:rPr>
              <w:t>0190–0210</w:t>
            </w:r>
          </w:p>
        </w:tc>
        <w:tc>
          <w:tcPr>
            <w:tcW w:w="8843" w:type="dxa"/>
          </w:tcPr>
          <w:p w14:paraId="0934323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EGYÉB ELISMERT BIZTOSÍTÉK</w:t>
            </w:r>
          </w:p>
          <w:p w14:paraId="3277DA00" w14:textId="77777777" w:rsidR="00FB3D09" w:rsidRPr="002A677E" w:rsidRDefault="00FB3D09" w:rsidP="00822842">
            <w:pPr>
              <w:rPr>
                <w:rFonts w:ascii="Times New Roman" w:hAnsi="Times New Roman"/>
                <w:sz w:val="24"/>
              </w:rPr>
            </w:pPr>
            <w:r>
              <w:rPr>
                <w:rFonts w:ascii="Times New Roman" w:hAnsi="Times New Roman"/>
                <w:sz w:val="24"/>
              </w:rPr>
              <w:t>Ha az intézmény nem alkalmaz saját LGD-becslést, az értékeket az 575/2013/EU rendelet 199. cikkének (1)–(8) bekezdése, valamint 229. cikke szerint kell meghatározni.</w:t>
            </w:r>
          </w:p>
          <w:p w14:paraId="3AF3004D" w14:textId="77777777" w:rsidR="00FB3D09" w:rsidRPr="002A677E" w:rsidRDefault="00FB3D09" w:rsidP="00822842">
            <w:pPr>
              <w:rPr>
                <w:rFonts w:ascii="Times New Roman" w:hAnsi="Times New Roman"/>
                <w:b/>
                <w:sz w:val="24"/>
                <w:u w:val="single"/>
              </w:rPr>
            </w:pPr>
            <w:r>
              <w:rPr>
                <w:rFonts w:ascii="Times New Roman" w:hAnsi="Times New Roman"/>
                <w:sz w:val="24"/>
              </w:rPr>
              <w:t>Ha az intézmény saját LGD-becslést alkalmaz, az LGD-becslés során az egyéb biztosítékot az 575/2013/EU rendelet 181. cikke (1) bekezdésének e) és f) pontja szerint kell figyelembe venni.</w:t>
            </w:r>
          </w:p>
        </w:tc>
      </w:tr>
      <w:tr w:rsidR="00FB3D09" w:rsidRPr="002A677E" w14:paraId="57654874" w14:textId="77777777" w:rsidTr="00822842">
        <w:tc>
          <w:tcPr>
            <w:tcW w:w="1188" w:type="dxa"/>
          </w:tcPr>
          <w:p w14:paraId="4073E085" w14:textId="77777777" w:rsidR="00FB3D09" w:rsidRPr="002A677E" w:rsidRDefault="00FB3D09" w:rsidP="00822842">
            <w:pPr>
              <w:spacing w:line="240" w:lineRule="exact"/>
              <w:rPr>
                <w:rFonts w:ascii="Times New Roman" w:hAnsi="Times New Roman"/>
                <w:sz w:val="24"/>
              </w:rPr>
            </w:pPr>
            <w:r>
              <w:rPr>
                <w:rFonts w:ascii="Times New Roman" w:hAnsi="Times New Roman"/>
                <w:sz w:val="24"/>
              </w:rPr>
              <w:t>0190</w:t>
            </w:r>
          </w:p>
        </w:tc>
        <w:tc>
          <w:tcPr>
            <w:tcW w:w="8843" w:type="dxa"/>
          </w:tcPr>
          <w:p w14:paraId="38792F93" w14:textId="77777777" w:rsidR="00FB3D09" w:rsidRPr="002A677E" w:rsidRDefault="00FB3D09" w:rsidP="00822842">
            <w:pPr>
              <w:spacing w:line="240" w:lineRule="exact"/>
              <w:rPr>
                <w:rFonts w:ascii="Times New Roman" w:hAnsi="Times New Roman"/>
                <w:sz w:val="24"/>
              </w:rPr>
            </w:pPr>
            <w:r>
              <w:rPr>
                <w:rFonts w:ascii="Times New Roman" w:hAnsi="Times New Roman"/>
                <w:b/>
                <w:sz w:val="24"/>
                <w:u w:val="single"/>
              </w:rPr>
              <w:t>INGATLAN</w:t>
            </w:r>
          </w:p>
          <w:p w14:paraId="1C22EB67" w14:textId="7B65D474" w:rsidR="00FB3D09" w:rsidRPr="002A677E" w:rsidRDefault="00FB3D09" w:rsidP="00822842">
            <w:pPr>
              <w:spacing w:line="240" w:lineRule="exact"/>
              <w:rPr>
                <w:rFonts w:ascii="Times New Roman" w:hAnsi="Times New Roman"/>
                <w:sz w:val="24"/>
              </w:rPr>
            </w:pPr>
            <w:r>
              <w:rPr>
                <w:rFonts w:ascii="Times New Roman" w:hAnsi="Times New Roman"/>
                <w:sz w:val="24"/>
              </w:rPr>
              <w:t xml:space="preserve">Ha az intézmény nem alkalmaz saját LGD-becslést, az értékeket az 575/2013/EU rendelet 199. cikkének (2)–(4a) bekezdése szerint kell meghatározni és ebben az oszlopban kell </w:t>
            </w:r>
            <w:r>
              <w:rPr>
                <w:rFonts w:ascii="Times New Roman" w:hAnsi="Times New Roman"/>
                <w:sz w:val="24"/>
              </w:rPr>
              <w:lastRenderedPageBreak/>
              <w:t>feltüntetni. Be kell számítani az ingatlan lízingbe adását is (lásd az 575/2013/EU rendelet 199. cikkének (7) bekezdését). Lásd az 575/2013/EU rendelet 229. cikkét is.</w:t>
            </w:r>
          </w:p>
          <w:p w14:paraId="02AD8F76" w14:textId="77777777" w:rsidR="00FB3D09" w:rsidRPr="002A677E" w:rsidRDefault="00FB3D09" w:rsidP="00822842">
            <w:pPr>
              <w:spacing w:line="240" w:lineRule="exact"/>
              <w:rPr>
                <w:rFonts w:ascii="Times New Roman" w:hAnsi="Times New Roman"/>
                <w:sz w:val="24"/>
              </w:rPr>
            </w:pPr>
            <w:r>
              <w:rPr>
                <w:rFonts w:ascii="Times New Roman" w:hAnsi="Times New Roman"/>
                <w:sz w:val="24"/>
              </w:rPr>
              <w:t>Ha az intézmény saját LGD-becslést alkalmaz, akkor a feltüntetendő érték a becsült piaci érték.</w:t>
            </w:r>
          </w:p>
        </w:tc>
      </w:tr>
      <w:tr w:rsidR="00FB3D09" w:rsidRPr="002A677E" w14:paraId="5A77D1F7" w14:textId="77777777" w:rsidTr="00822842">
        <w:tc>
          <w:tcPr>
            <w:tcW w:w="1188" w:type="dxa"/>
          </w:tcPr>
          <w:p w14:paraId="639978E3" w14:textId="77777777" w:rsidR="00FB3D09" w:rsidRPr="002A677E" w:rsidRDefault="00FB3D09" w:rsidP="00822842">
            <w:pPr>
              <w:rPr>
                <w:rFonts w:ascii="Times New Roman" w:hAnsi="Times New Roman"/>
                <w:sz w:val="24"/>
              </w:rPr>
            </w:pPr>
            <w:r>
              <w:rPr>
                <w:rFonts w:ascii="Times New Roman" w:hAnsi="Times New Roman"/>
                <w:sz w:val="24"/>
              </w:rPr>
              <w:lastRenderedPageBreak/>
              <w:t>0200</w:t>
            </w:r>
          </w:p>
        </w:tc>
        <w:tc>
          <w:tcPr>
            <w:tcW w:w="8843" w:type="dxa"/>
          </w:tcPr>
          <w:p w14:paraId="11BF78C8"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EGYÉB DOLOGI BIZTOSÍTÉKOK</w:t>
            </w:r>
          </w:p>
          <w:p w14:paraId="79893BBD" w14:textId="77777777" w:rsidR="00FB3D09" w:rsidRPr="002A677E" w:rsidRDefault="00FB3D09" w:rsidP="00822842">
            <w:pPr>
              <w:rPr>
                <w:rFonts w:ascii="Times New Roman" w:hAnsi="Times New Roman"/>
                <w:sz w:val="24"/>
              </w:rPr>
            </w:pPr>
            <w:r>
              <w:rPr>
                <w:rFonts w:ascii="Times New Roman" w:hAnsi="Times New Roman"/>
                <w:sz w:val="24"/>
              </w:rPr>
              <w:t xml:space="preserve">Ha az intézmény nem alkalmaz saját LGD-becslést, az értékeket az 575/2013/EU rendelet 199. cikkének (6)–(8) bekezdése szerint kell meghatározni és ebben az oszlopban kell feltüntetni. Be kell számítani az ingatlanon kívüli vagyontárgyak lízingbe adását is (lásd az 575/2013/EU rendelet 199. cikkének (7) bekezdését). Lásd még az 575/2013/EU rendelet 229. cikkének (3) bekezdését. </w:t>
            </w:r>
          </w:p>
          <w:p w14:paraId="20C5AC83" w14:textId="77777777" w:rsidR="00FB3D09" w:rsidRPr="002A677E" w:rsidRDefault="00FB3D09" w:rsidP="00822842">
            <w:pPr>
              <w:rPr>
                <w:rFonts w:ascii="Times New Roman" w:hAnsi="Times New Roman"/>
                <w:b/>
                <w:sz w:val="24"/>
                <w:u w:val="single"/>
              </w:rPr>
            </w:pPr>
            <w:r>
              <w:rPr>
                <w:rFonts w:ascii="Times New Roman" w:hAnsi="Times New Roman"/>
                <w:sz w:val="24"/>
              </w:rPr>
              <w:t>Ha az intézmény saját LGD-becslést alkalmaz, akkor a feltüntetendő érték a biztosíték becsült piaci értéke.</w:t>
            </w:r>
          </w:p>
        </w:tc>
      </w:tr>
      <w:tr w:rsidR="00FB3D09" w:rsidRPr="002A677E" w14:paraId="6B2A20B1" w14:textId="77777777" w:rsidTr="00822842">
        <w:tc>
          <w:tcPr>
            <w:tcW w:w="1188" w:type="dxa"/>
          </w:tcPr>
          <w:p w14:paraId="41BEC94C" w14:textId="77777777" w:rsidR="00FB3D09" w:rsidRPr="002A677E" w:rsidRDefault="00FB3D09" w:rsidP="00822842">
            <w:pPr>
              <w:rPr>
                <w:rFonts w:ascii="Times New Roman" w:hAnsi="Times New Roman"/>
                <w:sz w:val="24"/>
              </w:rPr>
            </w:pPr>
            <w:r>
              <w:rPr>
                <w:rFonts w:ascii="Times New Roman" w:hAnsi="Times New Roman"/>
                <w:sz w:val="24"/>
              </w:rPr>
              <w:t>0210</w:t>
            </w:r>
          </w:p>
        </w:tc>
        <w:tc>
          <w:tcPr>
            <w:tcW w:w="8843" w:type="dxa"/>
          </w:tcPr>
          <w:p w14:paraId="4F3D36E9"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KÖVETELÉSEK</w:t>
            </w:r>
          </w:p>
          <w:p w14:paraId="7A705B5D" w14:textId="77777777" w:rsidR="00FB3D09" w:rsidRPr="002A677E" w:rsidRDefault="00FB3D09" w:rsidP="00822842">
            <w:pPr>
              <w:rPr>
                <w:rFonts w:ascii="Times New Roman" w:hAnsi="Times New Roman"/>
                <w:sz w:val="24"/>
              </w:rPr>
            </w:pPr>
            <w:r>
              <w:rPr>
                <w:rFonts w:ascii="Times New Roman" w:hAnsi="Times New Roman"/>
                <w:sz w:val="24"/>
              </w:rPr>
              <w:t>Ha az intézmény nem alkalmaz saját LGD-becslést, az értékeket az 575/2013/EU rendelet 199. cikkének (5) bekezdése és 229. cikke (2) bekezdése szerint kell meghatározni és ebben az oszlopban kell feltüntetni.</w:t>
            </w:r>
          </w:p>
          <w:p w14:paraId="436DED01" w14:textId="77777777" w:rsidR="00FB3D09" w:rsidRPr="002A677E" w:rsidRDefault="00FB3D09" w:rsidP="00822842">
            <w:pPr>
              <w:rPr>
                <w:rFonts w:ascii="Times New Roman" w:hAnsi="Times New Roman"/>
                <w:b/>
                <w:sz w:val="24"/>
                <w:u w:val="single"/>
              </w:rPr>
            </w:pPr>
            <w:r>
              <w:rPr>
                <w:rFonts w:ascii="Times New Roman" w:hAnsi="Times New Roman"/>
                <w:sz w:val="24"/>
              </w:rPr>
              <w:t>Ha az intézmény saját LGD-becslést alkalmaz, akkor a feltüntetendő érték a biztosíték becsült piaci értéke.</w:t>
            </w:r>
          </w:p>
        </w:tc>
      </w:tr>
      <w:tr w:rsidR="00FB3D09" w:rsidRPr="002A677E" w14:paraId="60E8AC07" w14:textId="77777777" w:rsidTr="00822842">
        <w:tc>
          <w:tcPr>
            <w:tcW w:w="1188" w:type="dxa"/>
          </w:tcPr>
          <w:p w14:paraId="5D57504A" w14:textId="77777777" w:rsidR="00FB3D09" w:rsidRPr="002A677E" w:rsidRDefault="00FB3D09" w:rsidP="00822842">
            <w:pPr>
              <w:rPr>
                <w:rFonts w:ascii="Times New Roman" w:hAnsi="Times New Roman"/>
                <w:sz w:val="24"/>
              </w:rPr>
            </w:pPr>
            <w:r>
              <w:rPr>
                <w:rFonts w:ascii="Times New Roman" w:hAnsi="Times New Roman"/>
                <w:sz w:val="24"/>
              </w:rPr>
              <w:t>0230</w:t>
            </w:r>
          </w:p>
        </w:tc>
        <w:tc>
          <w:tcPr>
            <w:tcW w:w="8843" w:type="dxa"/>
          </w:tcPr>
          <w:p w14:paraId="79AFFD3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KITETTSÉGGEL SÚLYOZOTT ÁTLAGOS LGD (%)</w:t>
            </w:r>
          </w:p>
          <w:p w14:paraId="6F9170F4" w14:textId="5D916447" w:rsidR="00FB3D09" w:rsidRPr="002A677E" w:rsidRDefault="00FB3D09" w:rsidP="00822842">
            <w:pPr>
              <w:rPr>
                <w:rFonts w:ascii="Times New Roman" w:hAnsi="Times New Roman"/>
                <w:sz w:val="24"/>
              </w:rPr>
            </w:pPr>
            <w:r>
              <w:rPr>
                <w:rFonts w:ascii="Times New Roman" w:hAnsi="Times New Roman"/>
                <w:sz w:val="24"/>
              </w:rPr>
              <w:t xml:space="preserve">Figyelembe kell venni a hitelkockázat-mérséklési technikáknak az LGD-értékekre gyakorolt, az 575/2013/EU rendelet harmadik része II. címe 3. és 4. fejezetében meghatározott teljes hatását. </w:t>
            </w:r>
          </w:p>
          <w:p w14:paraId="39A74258" w14:textId="77777777" w:rsidR="00FB3D09" w:rsidRPr="002A677E" w:rsidRDefault="00FB3D09" w:rsidP="00822842">
            <w:pPr>
              <w:rPr>
                <w:rFonts w:ascii="Times New Roman" w:hAnsi="Times New Roman"/>
                <w:sz w:val="24"/>
              </w:rPr>
            </w:pPr>
            <w:r>
              <w:rPr>
                <w:rFonts w:ascii="Times New Roman" w:hAnsi="Times New Roman"/>
                <w:sz w:val="24"/>
              </w:rPr>
              <w:t>Nemteljesítő kitettségek esetében az 575/2013/EU rendelet 181. cikke (1) bekezdésének h) pontját kell figyelembe venni.</w:t>
            </w:r>
          </w:p>
          <w:p w14:paraId="60A8EDA1" w14:textId="77777777" w:rsidR="00FB3D09" w:rsidRPr="002A677E" w:rsidRDefault="00FB3D09" w:rsidP="00822842">
            <w:pPr>
              <w:rPr>
                <w:rFonts w:ascii="Times New Roman" w:hAnsi="Times New Roman"/>
                <w:sz w:val="24"/>
              </w:rPr>
            </w:pPr>
            <w:r>
              <w:rPr>
                <w:rFonts w:ascii="Times New Roman" w:hAnsi="Times New Roman"/>
                <w:sz w:val="24"/>
              </w:rPr>
              <w:t>A 0110-es oszlopban említett kitettségérték alapján kell kiszámítani a kitettséggel súlyozott átlagokat.</w:t>
            </w:r>
          </w:p>
          <w:p w14:paraId="4BB11427" w14:textId="77777777" w:rsidR="00FB3D09" w:rsidRPr="002A677E" w:rsidRDefault="00FB3D09" w:rsidP="00822842">
            <w:pPr>
              <w:rPr>
                <w:rFonts w:ascii="Times New Roman" w:hAnsi="Times New Roman"/>
                <w:sz w:val="24"/>
              </w:rPr>
            </w:pPr>
            <w:r>
              <w:rPr>
                <w:rFonts w:ascii="Times New Roman" w:hAnsi="Times New Roman"/>
                <w:sz w:val="24"/>
              </w:rPr>
              <w:t>Minden hatást figyelembe kell venni (így az 575/2013/EU rendelet 164. cikkének (4) bekezdésével összhangban az ingatlannal fedezett kitettségekre alkalmazandó alsó korlát hatásait bele kell foglalni az adatszolgáltatásba).</w:t>
            </w:r>
          </w:p>
          <w:p w14:paraId="635EEDC3" w14:textId="2DC0DF92" w:rsidR="00FB3D09" w:rsidRPr="002A677E" w:rsidRDefault="00FB3D09" w:rsidP="00822842">
            <w:pPr>
              <w:rPr>
                <w:rFonts w:ascii="Times New Roman" w:hAnsi="Times New Roman"/>
                <w:sz w:val="24"/>
              </w:rPr>
            </w:pPr>
            <w:r>
              <w:rPr>
                <w:rFonts w:ascii="Times New Roman" w:hAnsi="Times New Roman"/>
                <w:sz w:val="24"/>
              </w:rPr>
              <w:t>Az IRB módszert alkalmazó, de saját LGD-becslést nem használó intézményeknél a pénzügyi biztosítékok kockázatmérséklő hatásait a kitettség teljes mértékben korrigált értéke (E*) tükrözi, majd azok az 575/2013/EU rendelet 230. cikkében említett LGD*-értékben is megjelennek.</w:t>
            </w:r>
          </w:p>
          <w:p w14:paraId="4BD44AA0" w14:textId="77777777" w:rsidR="00FB3D09" w:rsidRPr="002A677E" w:rsidRDefault="00FB3D09" w:rsidP="00822842">
            <w:pPr>
              <w:rPr>
                <w:rFonts w:ascii="Times New Roman" w:hAnsi="Times New Roman"/>
                <w:sz w:val="24"/>
              </w:rPr>
            </w:pPr>
            <w:r>
              <w:rPr>
                <w:rFonts w:ascii="Times New Roman" w:hAnsi="Times New Roman"/>
                <w:sz w:val="24"/>
              </w:rPr>
              <w:t>Az egyes PD-kötelezetti kategóriákhoz vagy halmazokhoz tartozó, kitettséggel súlyozott átlagos LGD az adott PD-kategóriához vagy halmazhoz kapcsolt prudenciális LGD-értékeknek a 0110-es oszlop vonatkozó kitettségértékével súlyozott átlaga.</w:t>
            </w:r>
          </w:p>
          <w:p w14:paraId="2A3FAE79" w14:textId="77777777" w:rsidR="00FB3D09" w:rsidRPr="002A677E" w:rsidRDefault="00FB3D09" w:rsidP="00822842">
            <w:pPr>
              <w:rPr>
                <w:rFonts w:ascii="Times New Roman" w:hAnsi="Times New Roman"/>
                <w:sz w:val="24"/>
              </w:rPr>
            </w:pPr>
            <w:r>
              <w:rPr>
                <w:rFonts w:ascii="Times New Roman" w:hAnsi="Times New Roman"/>
                <w:sz w:val="24"/>
              </w:rPr>
              <w:t>Ha az intézmény saját LGD-becslést alkalmaz, akkor figyelembe kell venni az 575/2013/EU rendelet 175. cikkét, valamint 181. cikkének (1) és (2) bekezdését.</w:t>
            </w:r>
          </w:p>
          <w:p w14:paraId="0DF969BF" w14:textId="77777777" w:rsidR="00FB3D09" w:rsidRPr="002A677E" w:rsidRDefault="00FB3D09" w:rsidP="00822842">
            <w:pPr>
              <w:rPr>
                <w:rFonts w:ascii="Times New Roman" w:hAnsi="Times New Roman"/>
                <w:sz w:val="24"/>
              </w:rPr>
            </w:pPr>
            <w:r>
              <w:rPr>
                <w:rFonts w:ascii="Times New Roman" w:hAnsi="Times New Roman"/>
                <w:sz w:val="24"/>
              </w:rPr>
              <w:t>A kitettséggel súlyozott átlagos LGD-értéket az adott illetékes hatóság által jóváhagyott belső minősítési skálában ténylegesen alkalmazott kockázati paraméterekből kell származtatni.</w:t>
            </w:r>
          </w:p>
          <w:p w14:paraId="345A6D26" w14:textId="77777777" w:rsidR="00FB3D09" w:rsidRPr="002A677E" w:rsidRDefault="00FB3D09" w:rsidP="00822842">
            <w:pPr>
              <w:rPr>
                <w:rFonts w:ascii="Times New Roman" w:hAnsi="Times New Roman"/>
                <w:sz w:val="24"/>
              </w:rPr>
            </w:pPr>
            <w:r>
              <w:rPr>
                <w:rFonts w:ascii="Times New Roman" w:hAnsi="Times New Roman"/>
                <w:sz w:val="24"/>
              </w:rPr>
              <w:lastRenderedPageBreak/>
              <w:t>Az adatszolgáltatás nem terjed ki az 575/2013/EU rendelet 153. cikkének (5) bekezdésében említett speciális hitelezési kitettségekre. Amennyiben a PD-értéket speciális hitelezési kitettségekre becsülik, az adatokat az LGD-kre vonatkozó saját becslések vagy a szabályozói LGD-k alapján kell megadni.</w:t>
            </w:r>
          </w:p>
          <w:p w14:paraId="0C1A1D74" w14:textId="77777777" w:rsidR="00FB3D09" w:rsidRPr="002A677E" w:rsidRDefault="00FB3D09" w:rsidP="00822842">
            <w:pPr>
              <w:rPr>
                <w:rFonts w:ascii="Times New Roman" w:hAnsi="Times New Roman"/>
                <w:sz w:val="24"/>
              </w:rPr>
            </w:pPr>
            <w:r>
              <w:rPr>
                <w:rFonts w:ascii="Times New Roman" w:hAnsi="Times New Roman"/>
                <w:sz w:val="24"/>
              </w:rPr>
              <w:t xml:space="preserve">A 0230-as oszlop számításakor nem vehetők figyelembe a nagy méretű szabályozott pénzügyi ágazatbeli szervezetek, valamint a nem szabályozott pénzügyi ágazatbeli szervezetek kitettségei és az azokhoz kapcsolódó LGD-értékek, ezek kizárólag a 0240-es oszlop kiszámításánál vehetők figyelembe. </w:t>
            </w:r>
          </w:p>
        </w:tc>
      </w:tr>
      <w:tr w:rsidR="00FB3D09" w:rsidRPr="002A677E" w14:paraId="6B45F6BD" w14:textId="77777777" w:rsidTr="00822842">
        <w:tc>
          <w:tcPr>
            <w:tcW w:w="1188" w:type="dxa"/>
          </w:tcPr>
          <w:p w14:paraId="591C6DEB" w14:textId="77777777" w:rsidR="00FB3D09" w:rsidRPr="002A677E" w:rsidRDefault="00FB3D09" w:rsidP="00822842">
            <w:pPr>
              <w:rPr>
                <w:rFonts w:ascii="Times New Roman" w:hAnsi="Times New Roman"/>
                <w:sz w:val="24"/>
              </w:rPr>
            </w:pPr>
            <w:r>
              <w:rPr>
                <w:rFonts w:ascii="Times New Roman" w:hAnsi="Times New Roman"/>
                <w:sz w:val="24"/>
              </w:rPr>
              <w:lastRenderedPageBreak/>
              <w:t>0240</w:t>
            </w:r>
          </w:p>
        </w:tc>
        <w:tc>
          <w:tcPr>
            <w:tcW w:w="8843" w:type="dxa"/>
          </w:tcPr>
          <w:p w14:paraId="32B1C75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NAGY MÉRETŰ PÉNZÜGYI ÁGAZATBELI SZERVEZETEK ÉS NEM SZABÁLYOZOTT PÉNZÜGYI ÁGAZATBELI SZERVEZETEK KITETTSÉGGEL SÚLYOZOTT ÁTLAGOS LGD-ÉRTÉKE (%)</w:t>
            </w:r>
          </w:p>
          <w:p w14:paraId="6939D8FB" w14:textId="77777777" w:rsidR="00FB3D09" w:rsidRPr="002A677E" w:rsidRDefault="00FB3D09" w:rsidP="00822842">
            <w:pPr>
              <w:rPr>
                <w:rFonts w:ascii="Times New Roman" w:hAnsi="Times New Roman"/>
                <w:sz w:val="24"/>
              </w:rPr>
            </w:pPr>
            <w:r>
              <w:rPr>
                <w:rFonts w:ascii="Times New Roman" w:hAnsi="Times New Roman"/>
                <w:sz w:val="24"/>
              </w:rPr>
              <w:t>Kitettséggel súlyozott átlagos LGD-érték (%) az 575/2013/EU rendelet 142. cikke (1) bekezdésének 4. pontjában meghatározott nagy méretű pénzügyi ágazatbeli szervezetekkel, valamint az 575/2013/EU rendelet 142. cikke (1) bekezdése 5. pontjában meghatározott nem szabályozott pénzügyi ágazatbeli szervezetekkel szembeni összes azon kitettségre vonatkozóan, amelyre az az 575/2013/EU rendelet 153. cikkének (2) bekezdése szerint meghatározott magasabb korrelációs együttható alkalmazandó.</w:t>
            </w:r>
          </w:p>
        </w:tc>
      </w:tr>
      <w:tr w:rsidR="00FB3D09" w:rsidRPr="002A677E" w14:paraId="176E6206" w14:textId="77777777" w:rsidTr="00822842">
        <w:tc>
          <w:tcPr>
            <w:tcW w:w="1188" w:type="dxa"/>
          </w:tcPr>
          <w:p w14:paraId="76179D87" w14:textId="77777777" w:rsidR="00FB3D09" w:rsidRPr="002A677E" w:rsidRDefault="00FB3D09" w:rsidP="00822842">
            <w:pPr>
              <w:rPr>
                <w:rFonts w:ascii="Times New Roman" w:hAnsi="Times New Roman"/>
                <w:sz w:val="24"/>
              </w:rPr>
            </w:pPr>
            <w:r>
              <w:rPr>
                <w:rFonts w:ascii="Times New Roman" w:hAnsi="Times New Roman"/>
                <w:sz w:val="24"/>
              </w:rPr>
              <w:t>0250</w:t>
            </w:r>
          </w:p>
        </w:tc>
        <w:tc>
          <w:tcPr>
            <w:tcW w:w="8843" w:type="dxa"/>
          </w:tcPr>
          <w:p w14:paraId="0303416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KITETTSÉGGEL SÚLYOZOTT ÁTLAGOS LEJÁRATI ÉRTÉK (NAP)</w:t>
            </w:r>
          </w:p>
          <w:p w14:paraId="2EF0BB8D" w14:textId="77777777" w:rsidR="00FB3D09" w:rsidRPr="002A677E" w:rsidRDefault="00FB3D09" w:rsidP="00822842">
            <w:pPr>
              <w:rPr>
                <w:rFonts w:ascii="Times New Roman" w:hAnsi="Times New Roman"/>
                <w:sz w:val="24"/>
              </w:rPr>
            </w:pPr>
            <w:r>
              <w:rPr>
                <w:rFonts w:ascii="Times New Roman" w:hAnsi="Times New Roman"/>
                <w:sz w:val="24"/>
              </w:rPr>
              <w:t>A feltüntetendő értéket az 575/2013/EU rendelet 162. cikkének megfelelően kell meghatározni. A kitettségérték (0110-es oszlop) alapján kell kiszámítani a kitettséggel súlyozott átlagokat. Az átlagos lejáratot napban kell megadni.</w:t>
            </w:r>
          </w:p>
          <w:p w14:paraId="6457CD5D" w14:textId="77777777" w:rsidR="00FB3D09" w:rsidRPr="002A677E" w:rsidRDefault="00FB3D09" w:rsidP="00822842">
            <w:pPr>
              <w:rPr>
                <w:rFonts w:ascii="Times New Roman" w:hAnsi="Times New Roman"/>
                <w:sz w:val="24"/>
              </w:rPr>
            </w:pPr>
            <w:r>
              <w:rPr>
                <w:rFonts w:ascii="Times New Roman" w:hAnsi="Times New Roman"/>
                <w:sz w:val="24"/>
              </w:rPr>
              <w:t>Ez az adat nem adható meg olyan kitettségérték esetén, amelynél a lejáratot nem veszik figyelembe a kockázattal súlyozott kitettségérték kiszámításakor. Ez azt jelenti, hogy az oszlop a „lakosság” kitettségi osztályra vonatkozóan nem tölthető ki.</w:t>
            </w:r>
          </w:p>
        </w:tc>
      </w:tr>
      <w:tr w:rsidR="00FB3D09" w:rsidRPr="002A677E" w14:paraId="713A30E1" w14:textId="77777777" w:rsidTr="00822842">
        <w:tc>
          <w:tcPr>
            <w:tcW w:w="1188" w:type="dxa"/>
          </w:tcPr>
          <w:p w14:paraId="00B32F9D" w14:textId="77777777" w:rsidR="00FB3D09" w:rsidRPr="002A677E" w:rsidRDefault="00FB3D09" w:rsidP="00822842">
            <w:pPr>
              <w:rPr>
                <w:rFonts w:ascii="Times New Roman" w:hAnsi="Times New Roman"/>
                <w:sz w:val="24"/>
              </w:rPr>
            </w:pPr>
            <w:r>
              <w:rPr>
                <w:rFonts w:ascii="Times New Roman" w:hAnsi="Times New Roman"/>
                <w:sz w:val="24"/>
              </w:rPr>
              <w:t>0255</w:t>
            </w:r>
          </w:p>
        </w:tc>
        <w:tc>
          <w:tcPr>
            <w:tcW w:w="8843" w:type="dxa"/>
          </w:tcPr>
          <w:p w14:paraId="75364CA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A SZORZÓK ELŐTTI, KOCKÁZATTAL SÚLYOZOTT KITETTSÉGÉRTÉK</w:t>
            </w:r>
          </w:p>
          <w:p w14:paraId="3F28CDB0" w14:textId="77777777" w:rsidR="00FB3D09" w:rsidRPr="002A677E" w:rsidRDefault="00FB3D09" w:rsidP="00822842">
            <w:pPr>
              <w:rPr>
                <w:rFonts w:ascii="Times New Roman" w:hAnsi="Times New Roman"/>
                <w:sz w:val="24"/>
              </w:rPr>
            </w:pPr>
            <w:r>
              <w:rPr>
                <w:rFonts w:ascii="Times New Roman" w:hAnsi="Times New Roman"/>
                <w:sz w:val="24"/>
              </w:rPr>
              <w:t xml:space="preserve">A központi kormányzatok és központi bankok, a vállalkozások és az intézmények kitettségi osztályra vonatkozóan lásd az 575/2013/EU rendelet 153. cikkének (1), (2), (3) és (4) bekezdését. A lakossági kitettségi osztályra vonatkozóan lásd az 575/2013/EU rendelet 154. cikkének (1) bekezdését. </w:t>
            </w:r>
          </w:p>
          <w:p w14:paraId="1B679E8C" w14:textId="77777777" w:rsidR="00FB3D09" w:rsidRPr="002A677E" w:rsidRDefault="00FB3D09" w:rsidP="00822842">
            <w:pPr>
              <w:rPr>
                <w:rFonts w:ascii="Times New Roman" w:hAnsi="Times New Roman"/>
                <w:b/>
                <w:sz w:val="24"/>
                <w:u w:val="single"/>
              </w:rPr>
            </w:pPr>
            <w:r>
              <w:rPr>
                <w:rFonts w:ascii="Times New Roman" w:hAnsi="Times New Roman"/>
                <w:sz w:val="24"/>
              </w:rPr>
              <w:t>Az 575/2013/EU rendelet 501. és 501a. cikkében említett kkv-szorzót és infrastruktúra-szorzót nem kell figyelembe venni.</w:t>
            </w:r>
          </w:p>
        </w:tc>
      </w:tr>
      <w:tr w:rsidR="00FB3D09" w:rsidRPr="002A677E" w14:paraId="00547464" w14:textId="77777777" w:rsidTr="00822842">
        <w:tc>
          <w:tcPr>
            <w:tcW w:w="1188" w:type="dxa"/>
          </w:tcPr>
          <w:p w14:paraId="607227A4" w14:textId="77777777" w:rsidR="00FB3D09" w:rsidRPr="002A677E" w:rsidRDefault="00FB3D09" w:rsidP="00822842">
            <w:pPr>
              <w:rPr>
                <w:rFonts w:ascii="Times New Roman" w:hAnsi="Times New Roman"/>
                <w:sz w:val="24"/>
              </w:rPr>
            </w:pPr>
            <w:r>
              <w:rPr>
                <w:rFonts w:ascii="Times New Roman" w:hAnsi="Times New Roman"/>
                <w:sz w:val="24"/>
              </w:rPr>
              <w:t>0256</w:t>
            </w:r>
          </w:p>
        </w:tc>
        <w:tc>
          <w:tcPr>
            <w:tcW w:w="8843" w:type="dxa"/>
          </w:tcPr>
          <w:p w14:paraId="16679AD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A KOCKÁZATTAL SÚLYOZOTT KITETTSÉGÉRTÉK KKV-SZORZÓ MIATTI KORREKCIÓJA</w:t>
            </w:r>
          </w:p>
          <w:p w14:paraId="1FAB0E68" w14:textId="77777777" w:rsidR="00FB3D09" w:rsidRPr="002A677E" w:rsidRDefault="00FB3D09" w:rsidP="00822842">
            <w:pPr>
              <w:rPr>
                <w:rFonts w:ascii="Times New Roman" w:hAnsi="Times New Roman"/>
                <w:b/>
                <w:sz w:val="24"/>
                <w:u w:val="single"/>
              </w:rPr>
            </w:pPr>
            <w:r>
              <w:rPr>
                <w:rFonts w:ascii="Times New Roman" w:hAnsi="Times New Roman"/>
                <w:sz w:val="24"/>
              </w:rPr>
              <w:t>A kkv-kel szembeni teljesítő kitettségeknek az 575/2013/EU rendelet harmadik része II. címének 3. fejezetével összhangban számított, kockázattal súlyozott kitettségértéke (RWEA) és az 575/2013/EU rendelet 501. cikke szerinti RWEA* különbségének levonása.</w:t>
            </w:r>
          </w:p>
        </w:tc>
      </w:tr>
      <w:tr w:rsidR="00FB3D09" w:rsidRPr="002A677E" w14:paraId="601EC6CE" w14:textId="77777777" w:rsidTr="00822842">
        <w:tc>
          <w:tcPr>
            <w:tcW w:w="1188" w:type="dxa"/>
          </w:tcPr>
          <w:p w14:paraId="4301D42E" w14:textId="77777777" w:rsidR="00FB3D09" w:rsidRPr="002A677E" w:rsidRDefault="00FB3D09" w:rsidP="00822842">
            <w:pPr>
              <w:rPr>
                <w:rFonts w:ascii="Times New Roman" w:hAnsi="Times New Roman"/>
                <w:sz w:val="24"/>
              </w:rPr>
            </w:pPr>
            <w:r>
              <w:rPr>
                <w:rFonts w:ascii="Times New Roman" w:hAnsi="Times New Roman"/>
                <w:sz w:val="24"/>
              </w:rPr>
              <w:t>0257</w:t>
            </w:r>
          </w:p>
        </w:tc>
        <w:tc>
          <w:tcPr>
            <w:tcW w:w="8843" w:type="dxa"/>
          </w:tcPr>
          <w:p w14:paraId="3835B6D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A KOCKÁZATTAL SÚLYOZOTT KITETTSÉGÉRTÉK INFRASTRUKTÚRA-SZORZÓ MIATTI KORREKCIÓJA</w:t>
            </w:r>
          </w:p>
          <w:p w14:paraId="7FB50F74" w14:textId="77777777" w:rsidR="00FB3D09" w:rsidRPr="002A677E" w:rsidRDefault="00FB3D09" w:rsidP="00822842">
            <w:pPr>
              <w:rPr>
                <w:rFonts w:ascii="Times New Roman" w:hAnsi="Times New Roman"/>
                <w:b/>
                <w:sz w:val="24"/>
                <w:u w:val="single"/>
              </w:rPr>
            </w:pPr>
            <w:r>
              <w:rPr>
                <w:rFonts w:ascii="Times New Roman" w:hAnsi="Times New Roman"/>
                <w:sz w:val="24"/>
              </w:rPr>
              <w:t xml:space="preserve">Az 575/2013/EU rendelet harmadik része II. címének megfelelően kiszámított kockázattal súlyozott kitettségértékek, valamint az említett rendelet 501a. cikke szerinti, alapvető közszolgáltatásokat nyújtó vagy támogató fizikai struktúrákat vagy létesítményeket, </w:t>
            </w:r>
            <w:r>
              <w:rPr>
                <w:rFonts w:ascii="Times New Roman" w:hAnsi="Times New Roman"/>
                <w:sz w:val="24"/>
              </w:rPr>
              <w:lastRenderedPageBreak/>
              <w:t xml:space="preserve">rendszereket és hálózatokat működtető vagy finanszírozó szervezetekkel szembeni kitettségek hitelkockázatára vonatkozó kiigazított RWEA-érték különbségének levonása. </w:t>
            </w:r>
          </w:p>
        </w:tc>
      </w:tr>
      <w:tr w:rsidR="00FB3D09" w:rsidRPr="002A677E" w14:paraId="01863AFF" w14:textId="77777777" w:rsidTr="00822842">
        <w:tc>
          <w:tcPr>
            <w:tcW w:w="1188" w:type="dxa"/>
            <w:shd w:val="clear" w:color="auto" w:fill="auto"/>
          </w:tcPr>
          <w:p w14:paraId="17BDBBCF" w14:textId="77777777" w:rsidR="00FB3D09" w:rsidRPr="002A677E" w:rsidRDefault="00FB3D09" w:rsidP="00822842">
            <w:pPr>
              <w:rPr>
                <w:rFonts w:ascii="Times New Roman" w:hAnsi="Times New Roman"/>
                <w:sz w:val="24"/>
              </w:rPr>
            </w:pPr>
            <w:r>
              <w:rPr>
                <w:rFonts w:ascii="Times New Roman" w:hAnsi="Times New Roman"/>
                <w:sz w:val="24"/>
              </w:rPr>
              <w:lastRenderedPageBreak/>
              <w:t>0260</w:t>
            </w:r>
          </w:p>
        </w:tc>
        <w:tc>
          <w:tcPr>
            <w:tcW w:w="8843" w:type="dxa"/>
            <w:shd w:val="clear" w:color="auto" w:fill="auto"/>
          </w:tcPr>
          <w:p w14:paraId="64DAA80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A SZORZÓK UTÁNI, KOCKÁZATTAL SÚLYOZOTT KITETTSÉGÉRTÉK</w:t>
            </w:r>
          </w:p>
          <w:p w14:paraId="336DC8E0" w14:textId="77777777" w:rsidR="00FB3D09" w:rsidRPr="002A677E" w:rsidRDefault="00FB3D09" w:rsidP="00822842">
            <w:pPr>
              <w:rPr>
                <w:rFonts w:ascii="Times New Roman" w:hAnsi="Times New Roman"/>
                <w:sz w:val="24"/>
              </w:rPr>
            </w:pPr>
            <w:r>
              <w:rPr>
                <w:rFonts w:ascii="Times New Roman" w:hAnsi="Times New Roman"/>
                <w:sz w:val="24"/>
              </w:rPr>
              <w:t>A központi kormányzatok és központi bankok, a vállalkozások és az intézmények kitettségi osztályra vonatkozóan lásd az 575/2013/EU rendelet 153. cikkének (1), (2), (3) és (4) bekezdését. A lakossági kitettségi osztályra vonatkozóan lásd az 575/2013/EU rendelet 154. cikkének (1) bekezdését.</w:t>
            </w:r>
          </w:p>
          <w:p w14:paraId="15BFFE29" w14:textId="77777777" w:rsidR="00FB3D09" w:rsidRPr="002A677E" w:rsidRDefault="00FB3D09" w:rsidP="00822842">
            <w:pPr>
              <w:rPr>
                <w:rFonts w:ascii="Times New Roman" w:hAnsi="Times New Roman"/>
                <w:b/>
                <w:sz w:val="24"/>
                <w:u w:val="single"/>
              </w:rPr>
            </w:pPr>
            <w:r>
              <w:rPr>
                <w:rFonts w:ascii="Times New Roman" w:hAnsi="Times New Roman"/>
                <w:sz w:val="24"/>
              </w:rPr>
              <w:t>Az 575/2013/EU rendelet 501. és 501a. cikkében említett kkv-szorzót és infrastruktúra-szorzót figyelembe kell venni.</w:t>
            </w:r>
          </w:p>
        </w:tc>
      </w:tr>
      <w:tr w:rsidR="00FB3D09" w:rsidRPr="002A677E" w14:paraId="1E25EE5D" w14:textId="77777777" w:rsidTr="00822842">
        <w:tc>
          <w:tcPr>
            <w:tcW w:w="1188" w:type="dxa"/>
            <w:shd w:val="clear" w:color="auto" w:fill="auto"/>
          </w:tcPr>
          <w:p w14:paraId="159202C9" w14:textId="77777777" w:rsidR="00FB3D09" w:rsidRPr="002A677E" w:rsidRDefault="00FB3D09" w:rsidP="00822842">
            <w:pPr>
              <w:rPr>
                <w:rFonts w:ascii="Times New Roman" w:hAnsi="Times New Roman"/>
                <w:sz w:val="24"/>
              </w:rPr>
            </w:pPr>
            <w:r>
              <w:rPr>
                <w:rFonts w:ascii="Times New Roman" w:hAnsi="Times New Roman"/>
                <w:sz w:val="24"/>
              </w:rPr>
              <w:t>0270</w:t>
            </w:r>
          </w:p>
        </w:tc>
        <w:tc>
          <w:tcPr>
            <w:tcW w:w="8843" w:type="dxa"/>
            <w:shd w:val="clear" w:color="auto" w:fill="auto"/>
          </w:tcPr>
          <w:p w14:paraId="1D818AB3"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EBBŐL: NAGY MÉRETŰ PÉNZÜGYI ÁGAZATBELI SZERVEZETEK ÉS NEM SZABÁLYOZOTT PÉNZÜGYI ÁGAZATBELI SZERVEZETEK</w:t>
            </w:r>
          </w:p>
          <w:p w14:paraId="0DB2C46B" w14:textId="77777777" w:rsidR="00FB3D09" w:rsidRPr="002A677E" w:rsidDel="005A2363" w:rsidRDefault="00FB3D09" w:rsidP="00822842">
            <w:pPr>
              <w:rPr>
                <w:rFonts w:ascii="Times New Roman" w:hAnsi="Times New Roman"/>
                <w:sz w:val="24"/>
              </w:rPr>
            </w:pPr>
            <w:r>
              <w:rPr>
                <w:rFonts w:ascii="Times New Roman" w:hAnsi="Times New Roman"/>
                <w:sz w:val="24"/>
              </w:rPr>
              <w:t>A kkv-szorzó utáni, kockázattal súlyozott kitettségérték lebontása az 575/2013/EU rendelet 142. cikke (1) bekezdésének 4. pontjában meghatározott nagy méretű pénzügyi ágazatbeli szervezetekkel és az 575/2013/EU rendelet 142. cikke (1) bekezdésének 5. pontjában meghatározott nem szabályozott pénzügyi ágazatbeli szervezetekkel szembeni összes azon kitettségre, amelyre az említett rendelet 153. cikkének (2) bekezdése szerint meghatározott magasabb korrelációs együttható alkalmazandó.</w:t>
            </w:r>
          </w:p>
        </w:tc>
      </w:tr>
      <w:tr w:rsidR="00FB3D09" w:rsidRPr="002A677E" w14:paraId="60FB0B14" w14:textId="77777777" w:rsidTr="00822842">
        <w:tc>
          <w:tcPr>
            <w:tcW w:w="1188" w:type="dxa"/>
          </w:tcPr>
          <w:p w14:paraId="30362B6F" w14:textId="77777777" w:rsidR="00FB3D09" w:rsidRPr="002A677E" w:rsidRDefault="00FB3D09" w:rsidP="00822842">
            <w:pPr>
              <w:rPr>
                <w:rFonts w:ascii="Times New Roman" w:hAnsi="Times New Roman"/>
                <w:sz w:val="24"/>
              </w:rPr>
            </w:pPr>
            <w:r>
              <w:rPr>
                <w:rFonts w:ascii="Times New Roman" w:hAnsi="Times New Roman"/>
                <w:sz w:val="24"/>
              </w:rPr>
              <w:t>0280</w:t>
            </w:r>
          </w:p>
        </w:tc>
        <w:tc>
          <w:tcPr>
            <w:tcW w:w="8843" w:type="dxa"/>
          </w:tcPr>
          <w:p w14:paraId="292D01A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VÁRHATÓ VESZTESÉGÉRTÉK</w:t>
            </w:r>
          </w:p>
          <w:p w14:paraId="3EA527F7" w14:textId="77777777" w:rsidR="00FB3D09" w:rsidRPr="002A677E" w:rsidRDefault="00FB3D09" w:rsidP="00822842">
            <w:pPr>
              <w:jc w:val="left"/>
              <w:rPr>
                <w:rFonts w:ascii="Times New Roman" w:hAnsi="Times New Roman"/>
                <w:sz w:val="24"/>
              </w:rPr>
            </w:pPr>
            <w:r>
              <w:rPr>
                <w:rFonts w:ascii="Times New Roman" w:hAnsi="Times New Roman"/>
                <w:sz w:val="24"/>
              </w:rPr>
              <w:t>A várható veszteség meghatározását az 575/2013/EU rendelet 5. cikkének (3) bekezdése, a várható veszteség összegének kiszámítását az említett rendelet 158. cikke tartalmazza. A nemteljesítő kitettségekkel kapcsolatban lásd az 575/2013/EU rendelet 181. cikke (1) bekezdésének h) pontját. A várható veszteség feltüntetendő értékét az adott illetékes hatóság által jóváhagyott belső minősítési skálában ténylegesen alkalmazott kockázati paraméterek alapján kell kiszámítani.</w:t>
            </w:r>
          </w:p>
        </w:tc>
      </w:tr>
      <w:tr w:rsidR="00FB3D09" w:rsidRPr="002A677E" w14:paraId="78AB62DA" w14:textId="77777777" w:rsidTr="00822842">
        <w:tc>
          <w:tcPr>
            <w:tcW w:w="1188" w:type="dxa"/>
          </w:tcPr>
          <w:p w14:paraId="19E4E66B" w14:textId="77777777" w:rsidR="00FB3D09" w:rsidRPr="002A677E" w:rsidRDefault="00FB3D09" w:rsidP="00822842">
            <w:pPr>
              <w:rPr>
                <w:rFonts w:ascii="Times New Roman" w:hAnsi="Times New Roman"/>
                <w:sz w:val="24"/>
              </w:rPr>
            </w:pPr>
            <w:r>
              <w:rPr>
                <w:rFonts w:ascii="Times New Roman" w:hAnsi="Times New Roman"/>
                <w:sz w:val="24"/>
              </w:rPr>
              <w:t>0290</w:t>
            </w:r>
          </w:p>
        </w:tc>
        <w:tc>
          <w:tcPr>
            <w:tcW w:w="8843" w:type="dxa"/>
          </w:tcPr>
          <w:p w14:paraId="7D685CC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ÉRTÉKELÉSI KORREKCIÓK ÉS CÉLTARTALÉKOK</w:t>
            </w:r>
          </w:p>
          <w:p w14:paraId="27BC2A31" w14:textId="77777777" w:rsidR="00FB3D09" w:rsidRPr="002A677E" w:rsidRDefault="00FB3D09" w:rsidP="00822842">
            <w:pPr>
              <w:rPr>
                <w:rFonts w:ascii="Times New Roman" w:hAnsi="Times New Roman"/>
                <w:sz w:val="24"/>
              </w:rPr>
            </w:pPr>
            <w:r>
              <w:rPr>
                <w:rFonts w:ascii="Times New Roman" w:hAnsi="Times New Roman"/>
                <w:sz w:val="24"/>
              </w:rPr>
              <w:t>Az értékelési korrekciót, valamint az 575/2013/EU rendelet 159. cikke szerinti egyedi és általános hitelkockázati kiigazításokat kell feltüntetni. Az általános hitelkockázati kiigazításokat az egyes kötelezetti kategóriák várható vesztesége alapján arányosítva kell megadni.</w:t>
            </w:r>
          </w:p>
        </w:tc>
      </w:tr>
      <w:tr w:rsidR="00FB3D09" w:rsidRPr="002A677E" w14:paraId="21C57CE6" w14:textId="77777777" w:rsidTr="00822842">
        <w:tc>
          <w:tcPr>
            <w:tcW w:w="1188" w:type="dxa"/>
          </w:tcPr>
          <w:p w14:paraId="61FC4938" w14:textId="77777777" w:rsidR="00FB3D09" w:rsidRPr="002A677E" w:rsidRDefault="00FB3D09" w:rsidP="00822842">
            <w:pPr>
              <w:ind w:right="-288"/>
              <w:rPr>
                <w:rFonts w:ascii="Times New Roman" w:hAnsi="Times New Roman"/>
                <w:sz w:val="24"/>
              </w:rPr>
            </w:pPr>
            <w:r>
              <w:rPr>
                <w:rFonts w:ascii="Times New Roman" w:hAnsi="Times New Roman"/>
                <w:sz w:val="24"/>
              </w:rPr>
              <w:t>0300</w:t>
            </w:r>
          </w:p>
        </w:tc>
        <w:tc>
          <w:tcPr>
            <w:tcW w:w="8843" w:type="dxa"/>
          </w:tcPr>
          <w:p w14:paraId="2691C548" w14:textId="77777777" w:rsidR="00FB3D09" w:rsidRPr="002A677E" w:rsidRDefault="00FB3D09" w:rsidP="00822842">
            <w:pPr>
              <w:ind w:right="-288"/>
              <w:rPr>
                <w:rFonts w:ascii="Times New Roman" w:hAnsi="Times New Roman"/>
                <w:b/>
                <w:sz w:val="24"/>
                <w:u w:val="single"/>
              </w:rPr>
            </w:pPr>
            <w:r>
              <w:rPr>
                <w:rFonts w:ascii="Times New Roman" w:hAnsi="Times New Roman"/>
                <w:b/>
                <w:sz w:val="24"/>
                <w:u w:val="single"/>
              </w:rPr>
              <w:t>KÖTELEZETTEK SZÁMA</w:t>
            </w:r>
          </w:p>
          <w:p w14:paraId="414A3020" w14:textId="77777777" w:rsidR="00FB3D09" w:rsidRPr="002A677E" w:rsidRDefault="00FB3D09" w:rsidP="00822842">
            <w:pPr>
              <w:rPr>
                <w:rFonts w:ascii="Times New Roman" w:hAnsi="Times New Roman"/>
                <w:sz w:val="24"/>
              </w:rPr>
            </w:pPr>
            <w:r>
              <w:rPr>
                <w:rFonts w:ascii="Times New Roman" w:hAnsi="Times New Roman"/>
                <w:sz w:val="24"/>
              </w:rPr>
              <w:t>Az 575/2013/EU rendelet 172. cikkének (1) és (2) bekezdése.</w:t>
            </w:r>
          </w:p>
          <w:p w14:paraId="562514B7" w14:textId="77777777" w:rsidR="00FB3D09" w:rsidRPr="002A677E" w:rsidRDefault="00FB3D09" w:rsidP="00822842">
            <w:pPr>
              <w:rPr>
                <w:rFonts w:ascii="Times New Roman" w:hAnsi="Times New Roman"/>
                <w:sz w:val="24"/>
              </w:rPr>
            </w:pPr>
            <w:r>
              <w:rPr>
                <w:rFonts w:ascii="Times New Roman" w:hAnsi="Times New Roman"/>
                <w:sz w:val="24"/>
              </w:rPr>
              <w:t xml:space="preserve">A lakossági kitettségi osztály, valamint az 575/2013/EU rendelet 172. cikke (1) bekezdése e) pontjának második mondatában említett esetek kivételével az intézmény valamennyi kitettségi osztályra vonatkozóan a külön minősített jogi személyek/kötelezettek számát adja meg a különböző fennálló hitelek vagy kitettségek számától függetlenül. </w:t>
            </w:r>
          </w:p>
          <w:p w14:paraId="67988932" w14:textId="77777777" w:rsidR="00FB3D09" w:rsidRPr="002A677E" w:rsidRDefault="00FB3D09" w:rsidP="00822842">
            <w:pPr>
              <w:rPr>
                <w:rFonts w:ascii="Times New Roman" w:hAnsi="Times New Roman"/>
                <w:sz w:val="24"/>
              </w:rPr>
            </w:pPr>
            <w:r>
              <w:rPr>
                <w:rFonts w:ascii="Times New Roman" w:hAnsi="Times New Roman"/>
                <w:sz w:val="24"/>
              </w:rPr>
              <w:t>A lakossági kitettségi osztályon belül, vagy ha más kitettségi osztályokban ugyanazon kötelezettel szembeni külön kitettségeket különböző kötelezetti kategóriákhoz rendelnek az 575/2013/EU rendelet 172. cikke (1) bekezdése e) pontjának második mondatával összhangban, az intézmény azon kitettségek számát adja meg, amelyeket külön soroltak be egy bizonyos minősítési kategóriába vagy halmazba. Az 575/2013/EU rendelet 172. cikke (2) bekezdésének alkalmazásakor egy kötelezett egynél több kategóriában is figyelembe vehető.</w:t>
            </w:r>
          </w:p>
          <w:p w14:paraId="61D41F66" w14:textId="77777777" w:rsidR="00FB3D09" w:rsidRPr="002A677E" w:rsidRDefault="00FB3D09" w:rsidP="00822842">
            <w:pPr>
              <w:rPr>
                <w:rFonts w:ascii="Times New Roman" w:hAnsi="Times New Roman"/>
                <w:sz w:val="24"/>
              </w:rPr>
            </w:pPr>
            <w:r>
              <w:rPr>
                <w:rStyle w:val="InstructionsTabelleText"/>
                <w:rFonts w:ascii="Times New Roman" w:hAnsi="Times New Roman"/>
                <w:sz w:val="24"/>
              </w:rPr>
              <w:lastRenderedPageBreak/>
              <w:t>Mivel ez az oszlop a minősítési skálák egyik szerkezeti elemét érinti, az egyes kötelezetti kategóriákba vagy halmazokba sorolt hitel-egyenértékesítési tényezők előtti eredeti kitettséghez kapcsolódik, a hitelkockázat-mérséklési technikák hatásainak (különösen a redisztribúciós hatás) figyelembevétele nélkül.</w:t>
            </w:r>
          </w:p>
        </w:tc>
      </w:tr>
      <w:tr w:rsidR="00FB3D09" w:rsidRPr="002A677E" w14:paraId="387DE7F0" w14:textId="77777777" w:rsidTr="00822842">
        <w:tc>
          <w:tcPr>
            <w:tcW w:w="1188" w:type="dxa"/>
          </w:tcPr>
          <w:p w14:paraId="30554C29" w14:textId="77777777" w:rsidR="00FB3D09" w:rsidRPr="002A677E" w:rsidRDefault="00FB3D09" w:rsidP="00822842">
            <w:pPr>
              <w:ind w:right="-288"/>
              <w:rPr>
                <w:rFonts w:ascii="Times New Roman" w:hAnsi="Times New Roman"/>
                <w:sz w:val="24"/>
              </w:rPr>
            </w:pPr>
            <w:r>
              <w:rPr>
                <w:rFonts w:ascii="Times New Roman" w:hAnsi="Times New Roman"/>
                <w:sz w:val="24"/>
              </w:rPr>
              <w:lastRenderedPageBreak/>
              <w:t>0310</w:t>
            </w:r>
          </w:p>
        </w:tc>
        <w:tc>
          <w:tcPr>
            <w:tcW w:w="8843" w:type="dxa"/>
          </w:tcPr>
          <w:p w14:paraId="53579B1B" w14:textId="77777777" w:rsidR="00FB3D09" w:rsidRPr="002A677E" w:rsidRDefault="00FB3D09" w:rsidP="00822842">
            <w:pPr>
              <w:ind w:right="-288"/>
              <w:rPr>
                <w:rFonts w:ascii="Times New Roman" w:hAnsi="Times New Roman"/>
                <w:b/>
                <w:sz w:val="24"/>
                <w:u w:val="single"/>
              </w:rPr>
            </w:pPr>
            <w:r>
              <w:rPr>
                <w:rFonts w:ascii="Times New Roman" w:hAnsi="Times New Roman"/>
                <w:b/>
                <w:sz w:val="24"/>
                <w:u w:val="single"/>
              </w:rPr>
              <w:t>HITELDERIVATÍVÁK ELŐTTI, KOCKÁZATTAL SÚLYOZOTT KITETTSÉGÉRTÉK</w:t>
            </w:r>
          </w:p>
          <w:p w14:paraId="62E64F52" w14:textId="77777777" w:rsidR="00FB3D09" w:rsidRPr="002A677E" w:rsidRDefault="00FB3D09" w:rsidP="00822842">
            <w:pPr>
              <w:ind w:right="6"/>
              <w:rPr>
                <w:rFonts w:ascii="Times New Roman" w:hAnsi="Times New Roman"/>
                <w:b/>
                <w:sz w:val="24"/>
                <w:u w:val="single"/>
              </w:rPr>
            </w:pPr>
            <w:r>
              <w:rPr>
                <w:rFonts w:ascii="Times New Roman" w:hAnsi="Times New Roman"/>
                <w:sz w:val="24"/>
              </w:rPr>
              <w:t>Az intézményeknek a kockázattal súlyozott hipotetikus kitettségértéket RWEA-ként kell kiszámítaniuk anélkül, hogy az elismert hitelderivatívát az 575/2013/EU rendelet 204. cikkében meghatározott hitelkockázat-mérséklési technikaként vennék számításba.</w:t>
            </w:r>
            <w:r>
              <w:rPr>
                <w:rStyle w:val="InstructionsTabelleText"/>
                <w:rFonts w:ascii="Times New Roman" w:hAnsi="Times New Roman"/>
                <w:sz w:val="24"/>
              </w:rPr>
              <w:t xml:space="preserve"> Az összegeket az eredeti kötelezettel szembeni kitettségekre vonatkozó kitettségi osztályokban kell feltüntetni.</w:t>
            </w:r>
          </w:p>
        </w:tc>
      </w:tr>
    </w:tbl>
    <w:p w14:paraId="5137B249" w14:textId="77777777" w:rsidR="00FB3D09" w:rsidRPr="002A677E" w:rsidRDefault="00FB3D09" w:rsidP="00FB3D09">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FB3D09" w:rsidRPr="002A677E" w14:paraId="182DA561" w14:textId="77777777" w:rsidTr="00822842">
        <w:tc>
          <w:tcPr>
            <w:tcW w:w="1242" w:type="dxa"/>
            <w:shd w:val="clear" w:color="auto" w:fill="CCCCCC"/>
          </w:tcPr>
          <w:p w14:paraId="60BF7B07" w14:textId="77777777" w:rsidR="00FB3D09" w:rsidRPr="002A677E" w:rsidRDefault="00FB3D09" w:rsidP="00822842">
            <w:pPr>
              <w:rPr>
                <w:rFonts w:ascii="Times New Roman" w:hAnsi="Times New Roman"/>
                <w:sz w:val="24"/>
              </w:rPr>
            </w:pPr>
            <w:r>
              <w:rPr>
                <w:rFonts w:ascii="Times New Roman" w:hAnsi="Times New Roman"/>
                <w:sz w:val="24"/>
              </w:rPr>
              <w:t>Sorok</w:t>
            </w:r>
          </w:p>
        </w:tc>
        <w:tc>
          <w:tcPr>
            <w:tcW w:w="8789" w:type="dxa"/>
            <w:shd w:val="clear" w:color="auto" w:fill="CCCCCC"/>
          </w:tcPr>
          <w:p w14:paraId="2CDF9396" w14:textId="77777777" w:rsidR="00FB3D09" w:rsidRPr="002A677E" w:rsidRDefault="00FB3D09" w:rsidP="00822842">
            <w:pPr>
              <w:ind w:left="72"/>
              <w:rPr>
                <w:rFonts w:ascii="Times New Roman" w:hAnsi="Times New Roman"/>
                <w:sz w:val="24"/>
              </w:rPr>
            </w:pPr>
            <w:r>
              <w:rPr>
                <w:rFonts w:ascii="Times New Roman" w:hAnsi="Times New Roman"/>
                <w:sz w:val="24"/>
              </w:rPr>
              <w:t>Útmutató</w:t>
            </w:r>
          </w:p>
        </w:tc>
      </w:tr>
      <w:tr w:rsidR="00FB3D09" w:rsidRPr="002A677E" w14:paraId="262380DA" w14:textId="77777777" w:rsidTr="00822842">
        <w:tc>
          <w:tcPr>
            <w:tcW w:w="1242" w:type="dxa"/>
          </w:tcPr>
          <w:p w14:paraId="2A2E4372" w14:textId="77777777" w:rsidR="00FB3D09" w:rsidRPr="002A677E" w:rsidRDefault="00FB3D09" w:rsidP="00822842">
            <w:pPr>
              <w:rPr>
                <w:rFonts w:ascii="Times New Roman" w:hAnsi="Times New Roman"/>
                <w:sz w:val="24"/>
              </w:rPr>
            </w:pPr>
            <w:r>
              <w:rPr>
                <w:rFonts w:ascii="Times New Roman" w:hAnsi="Times New Roman"/>
                <w:sz w:val="24"/>
              </w:rPr>
              <w:t>0010</w:t>
            </w:r>
          </w:p>
        </w:tc>
        <w:tc>
          <w:tcPr>
            <w:tcW w:w="8789" w:type="dxa"/>
          </w:tcPr>
          <w:p w14:paraId="4BDE31A6" w14:textId="77777777" w:rsidR="00FB3D09" w:rsidRPr="002A677E" w:rsidRDefault="00FB3D09" w:rsidP="00822842">
            <w:pPr>
              <w:rPr>
                <w:rFonts w:ascii="Times New Roman" w:hAnsi="Times New Roman"/>
                <w:sz w:val="24"/>
              </w:rPr>
            </w:pPr>
            <w:r>
              <w:rPr>
                <w:rFonts w:ascii="Times New Roman" w:hAnsi="Times New Roman"/>
                <w:b/>
                <w:sz w:val="24"/>
                <w:u w:val="single"/>
              </w:rPr>
              <w:t>TELJES KITETTSÉG</w:t>
            </w:r>
          </w:p>
        </w:tc>
      </w:tr>
      <w:tr w:rsidR="00FB3D09" w:rsidRPr="002A677E" w14:paraId="510EDBE9" w14:textId="77777777" w:rsidTr="00822842">
        <w:tc>
          <w:tcPr>
            <w:tcW w:w="1242" w:type="dxa"/>
          </w:tcPr>
          <w:p w14:paraId="3B12F2FA" w14:textId="77777777" w:rsidR="00FB3D09" w:rsidRPr="002A677E" w:rsidRDefault="00FB3D09" w:rsidP="00822842">
            <w:pPr>
              <w:rPr>
                <w:rFonts w:ascii="Times New Roman" w:hAnsi="Times New Roman"/>
                <w:sz w:val="24"/>
              </w:rPr>
            </w:pPr>
            <w:r>
              <w:rPr>
                <w:rFonts w:ascii="Times New Roman" w:hAnsi="Times New Roman"/>
                <w:sz w:val="24"/>
              </w:rPr>
              <w:t>0015</w:t>
            </w:r>
          </w:p>
        </w:tc>
        <w:tc>
          <w:tcPr>
            <w:tcW w:w="8789" w:type="dxa"/>
          </w:tcPr>
          <w:p w14:paraId="61003B1B"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ebből: Kitettség a kkv-szorzó alkalmazásával</w:t>
            </w:r>
          </w:p>
          <w:p w14:paraId="60E8764A" w14:textId="77777777" w:rsidR="00FB3D09" w:rsidRPr="002A677E" w:rsidRDefault="00FB3D09" w:rsidP="00822842">
            <w:pPr>
              <w:rPr>
                <w:rFonts w:ascii="Times New Roman" w:hAnsi="Times New Roman"/>
                <w:sz w:val="24"/>
              </w:rPr>
            </w:pPr>
            <w:r>
              <w:rPr>
                <w:rFonts w:ascii="Times New Roman" w:hAnsi="Times New Roman"/>
                <w:sz w:val="24"/>
              </w:rPr>
              <w:t>Itt csak azokat a kkv-kal szembeni kitettségeket kell feltüntetni, amelyek teljesítik az 575/2013/EU rendelet 501. cikkében előírt követelményeket.</w:t>
            </w:r>
          </w:p>
        </w:tc>
      </w:tr>
      <w:tr w:rsidR="00FB3D09" w:rsidRPr="002A677E" w14:paraId="5CCB93AD" w14:textId="77777777" w:rsidTr="00822842">
        <w:tc>
          <w:tcPr>
            <w:tcW w:w="1242" w:type="dxa"/>
          </w:tcPr>
          <w:p w14:paraId="42174A1E" w14:textId="77777777" w:rsidR="00FB3D09" w:rsidRPr="002A677E" w:rsidRDefault="00FB3D09" w:rsidP="00822842">
            <w:pPr>
              <w:rPr>
                <w:rFonts w:ascii="Times New Roman" w:hAnsi="Times New Roman"/>
                <w:sz w:val="24"/>
              </w:rPr>
            </w:pPr>
            <w:r>
              <w:rPr>
                <w:rFonts w:ascii="Times New Roman" w:hAnsi="Times New Roman"/>
                <w:sz w:val="24"/>
              </w:rPr>
              <w:t>0016</w:t>
            </w:r>
          </w:p>
        </w:tc>
        <w:tc>
          <w:tcPr>
            <w:tcW w:w="8789" w:type="dxa"/>
          </w:tcPr>
          <w:p w14:paraId="12833DE3" w14:textId="77777777" w:rsidR="00FB3D09" w:rsidRPr="00891B34" w:rsidRDefault="00FB3D09" w:rsidP="00822842">
            <w:pPr>
              <w:rPr>
                <w:rFonts w:ascii="Times New Roman" w:hAnsi="Times New Roman"/>
                <w:b/>
                <w:sz w:val="24"/>
                <w:u w:val="single"/>
              </w:rPr>
            </w:pPr>
            <w:r>
              <w:rPr>
                <w:rFonts w:ascii="Times New Roman" w:hAnsi="Times New Roman"/>
                <w:b/>
                <w:sz w:val="24"/>
                <w:u w:val="single"/>
              </w:rPr>
              <w:t>ebből: Kitettség az infrastruktúra-szorzó alkalmazásával</w:t>
            </w:r>
          </w:p>
          <w:p w14:paraId="4FE9F0E6" w14:textId="77777777" w:rsidR="00FB3D09" w:rsidRPr="00B7761D" w:rsidRDefault="00FB3D09" w:rsidP="00822842">
            <w:pPr>
              <w:rPr>
                <w:rFonts w:ascii="Times New Roman" w:hAnsi="Times New Roman"/>
                <w:bCs/>
                <w:sz w:val="24"/>
                <w:u w:val="single"/>
              </w:rPr>
            </w:pPr>
            <w:r>
              <w:rPr>
                <w:rFonts w:ascii="Times New Roman" w:hAnsi="Times New Roman"/>
                <w:sz w:val="24"/>
              </w:rPr>
              <w:t>Itt csak azokat a kkv-kal szembeni kitettségeket kell feltüntetni, amelyek teljesítik az 575/2013/EU rendelet 501a. cikkében előírt követelményeket.</w:t>
            </w:r>
          </w:p>
        </w:tc>
      </w:tr>
      <w:tr w:rsidR="005E354B" w:rsidRPr="002A677E" w14:paraId="7311B76A" w14:textId="77777777" w:rsidTr="005E354B">
        <w:tc>
          <w:tcPr>
            <w:tcW w:w="1242" w:type="dxa"/>
            <w:tcBorders>
              <w:top w:val="single" w:sz="4" w:space="0" w:color="auto"/>
              <w:left w:val="single" w:sz="4" w:space="0" w:color="auto"/>
              <w:bottom w:val="single" w:sz="4" w:space="0" w:color="auto"/>
              <w:right w:val="single" w:sz="4" w:space="0" w:color="auto"/>
            </w:tcBorders>
          </w:tcPr>
          <w:p w14:paraId="22B9A309" w14:textId="77777777"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0017</w:t>
            </w:r>
          </w:p>
        </w:tc>
        <w:tc>
          <w:tcPr>
            <w:tcW w:w="8789" w:type="dxa"/>
            <w:tcBorders>
              <w:top w:val="single" w:sz="4" w:space="0" w:color="auto"/>
              <w:left w:val="single" w:sz="4" w:space="0" w:color="auto"/>
              <w:bottom w:val="single" w:sz="4" w:space="0" w:color="auto"/>
              <w:right w:val="single" w:sz="4" w:space="0" w:color="auto"/>
            </w:tcBorders>
          </w:tcPr>
          <w:p w14:paraId="46B0659D" w14:textId="77777777"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 xml:space="preserve">ebből: Lakóingatlanra bejegyzett zálogjoggal fedezett kitettségek – nem jövedelemtermelő ingatlanok </w:t>
            </w:r>
          </w:p>
          <w:p w14:paraId="78370D9A" w14:textId="6DCA960A"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Az 575/2013/EU rendelet 4. cikke (1) bekezdésének 75d. pontjában meghatározott olyan kitettségek, amelyek lakóingatlannal fedezettek, és amelyek az 575/2013/EU rendelet 4. cikke (1) bekezdésének 75c. pontjában szereplő fogalommeghatározásnak is megfelelnek.</w:t>
            </w:r>
          </w:p>
        </w:tc>
      </w:tr>
      <w:tr w:rsidR="005E354B" w:rsidRPr="002A677E" w14:paraId="7285D5CE" w14:textId="77777777" w:rsidTr="005E354B">
        <w:tc>
          <w:tcPr>
            <w:tcW w:w="1242" w:type="dxa"/>
            <w:tcBorders>
              <w:top w:val="single" w:sz="4" w:space="0" w:color="auto"/>
              <w:left w:val="single" w:sz="4" w:space="0" w:color="auto"/>
              <w:bottom w:val="single" w:sz="4" w:space="0" w:color="auto"/>
              <w:right w:val="single" w:sz="4" w:space="0" w:color="auto"/>
            </w:tcBorders>
          </w:tcPr>
          <w:p w14:paraId="09B6620F" w14:textId="54E0D353"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0018</w:t>
            </w:r>
          </w:p>
        </w:tc>
        <w:tc>
          <w:tcPr>
            <w:tcW w:w="8789" w:type="dxa"/>
            <w:tcBorders>
              <w:top w:val="single" w:sz="4" w:space="0" w:color="auto"/>
              <w:left w:val="single" w:sz="4" w:space="0" w:color="auto"/>
              <w:bottom w:val="single" w:sz="4" w:space="0" w:color="auto"/>
              <w:right w:val="single" w:sz="4" w:space="0" w:color="auto"/>
            </w:tcBorders>
          </w:tcPr>
          <w:p w14:paraId="34DC995D" w14:textId="514B87E5"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ebből:</w:t>
            </w:r>
            <w:r w:rsidR="003C2423">
              <w:rPr>
                <w:rStyle w:val="InstructionsTabelleberschrift"/>
                <w:rFonts w:ascii="Times New Roman" w:hAnsi="Times New Roman"/>
                <w:sz w:val="24"/>
              </w:rPr>
              <w:t xml:space="preserve"> </w:t>
            </w:r>
            <w:r>
              <w:rPr>
                <w:rStyle w:val="InstructionsTabelleberschrift"/>
                <w:rFonts w:ascii="Times New Roman" w:hAnsi="Times New Roman"/>
                <w:sz w:val="24"/>
              </w:rPr>
              <w:t>Lakóingatlanra bejegyzett zálogjoggal fedezett kitettségek – jövedelemtermelő ingatlanok</w:t>
            </w:r>
          </w:p>
          <w:p w14:paraId="0DF45C4E" w14:textId="0F60BC77"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Az 575/2013/EU rendelet 4. cikke (1) bekezdésének 75d. pontjában meghatározott olyan kitettségek, amelyek lakóingatlannal fedezettek, és amelyek az 575/2013/EU rendelet 4. cikke (1) bekezdésének 75b. pontjában szereplő fogalommeghatározásnak is megfelelnek.</w:t>
            </w:r>
          </w:p>
        </w:tc>
      </w:tr>
      <w:tr w:rsidR="005E354B" w:rsidRPr="002A677E" w14:paraId="5DC7A17D" w14:textId="77777777" w:rsidTr="005E354B">
        <w:tc>
          <w:tcPr>
            <w:tcW w:w="1242" w:type="dxa"/>
            <w:tcBorders>
              <w:top w:val="single" w:sz="4" w:space="0" w:color="auto"/>
              <w:left w:val="single" w:sz="4" w:space="0" w:color="auto"/>
              <w:bottom w:val="single" w:sz="4" w:space="0" w:color="auto"/>
              <w:right w:val="single" w:sz="4" w:space="0" w:color="auto"/>
            </w:tcBorders>
          </w:tcPr>
          <w:p w14:paraId="136825E4" w14:textId="6693C4F7"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0019</w:t>
            </w:r>
          </w:p>
        </w:tc>
        <w:tc>
          <w:tcPr>
            <w:tcW w:w="8789" w:type="dxa"/>
            <w:tcBorders>
              <w:top w:val="single" w:sz="4" w:space="0" w:color="auto"/>
              <w:left w:val="single" w:sz="4" w:space="0" w:color="auto"/>
              <w:bottom w:val="single" w:sz="4" w:space="0" w:color="auto"/>
              <w:right w:val="single" w:sz="4" w:space="0" w:color="auto"/>
            </w:tcBorders>
          </w:tcPr>
          <w:p w14:paraId="1D825E97" w14:textId="77777777"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 xml:space="preserve">ebből: Kereskedelmi ingatlanra bejegyzett zálogjoggal fedezett kitettségek – nem jövedelemtermelő ingatlanok </w:t>
            </w:r>
          </w:p>
          <w:p w14:paraId="46FFC8D0" w14:textId="77777777"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Az 575/2013/EU rendelet 4. cikke (1) bekezdésének 75e. pontjában meghatározott olyan kitettségek, amelyek kereskedelmi ingatlannal fedezettek, és amelyek az 575/2013/EU rendelet 4. cikke (1) bekezdésének 75c. pontjában szereplő fogalommeghatározásnak is megfelelnek.</w:t>
            </w:r>
          </w:p>
        </w:tc>
      </w:tr>
      <w:tr w:rsidR="005E354B" w:rsidRPr="002A677E" w14:paraId="5E0D933C" w14:textId="77777777" w:rsidTr="005E354B">
        <w:tc>
          <w:tcPr>
            <w:tcW w:w="1242" w:type="dxa"/>
            <w:tcBorders>
              <w:top w:val="single" w:sz="4" w:space="0" w:color="auto"/>
              <w:left w:val="single" w:sz="4" w:space="0" w:color="auto"/>
              <w:bottom w:val="single" w:sz="4" w:space="0" w:color="auto"/>
              <w:right w:val="single" w:sz="4" w:space="0" w:color="auto"/>
            </w:tcBorders>
          </w:tcPr>
          <w:p w14:paraId="4E8B0EA7" w14:textId="5DEB6BED"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0900</w:t>
            </w:r>
          </w:p>
        </w:tc>
        <w:tc>
          <w:tcPr>
            <w:tcW w:w="8789" w:type="dxa"/>
            <w:tcBorders>
              <w:top w:val="single" w:sz="4" w:space="0" w:color="auto"/>
              <w:left w:val="single" w:sz="4" w:space="0" w:color="auto"/>
              <w:bottom w:val="single" w:sz="4" w:space="0" w:color="auto"/>
              <w:right w:val="single" w:sz="4" w:space="0" w:color="auto"/>
            </w:tcBorders>
          </w:tcPr>
          <w:p w14:paraId="47BDF921" w14:textId="77777777" w:rsidR="005E354B"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ebből: Kereskedelmi ingatlanra bejegyzett zálogjoggal fedezett kitettségek – jövedelemtermelő ingatlanok</w:t>
            </w:r>
          </w:p>
          <w:p w14:paraId="71978D1D" w14:textId="0B94616B"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lastRenderedPageBreak/>
              <w:t>Az 575/2013/EU rendelet 4. cikke (1) bekezdésének 75e. pontjában meghatározott olyan kitettségek, amelyek kereskedelmi ingatlannal fedezettek, és amelyek az 575/2013/EU rendelet 4. cikke (1) bekezdésének 75b. pontjában szereplő fogalommeghatározásnak is megfelelnek.</w:t>
            </w:r>
          </w:p>
        </w:tc>
      </w:tr>
      <w:tr w:rsidR="005E354B" w:rsidRPr="002A677E" w14:paraId="2106BE7A" w14:textId="77777777" w:rsidTr="005E354B">
        <w:tc>
          <w:tcPr>
            <w:tcW w:w="1242" w:type="dxa"/>
            <w:tcBorders>
              <w:top w:val="single" w:sz="4" w:space="0" w:color="auto"/>
              <w:left w:val="single" w:sz="4" w:space="0" w:color="auto"/>
              <w:bottom w:val="single" w:sz="4" w:space="0" w:color="auto"/>
              <w:right w:val="single" w:sz="4" w:space="0" w:color="auto"/>
            </w:tcBorders>
          </w:tcPr>
          <w:p w14:paraId="49D64ED2" w14:textId="58DFC3D7"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0910</w:t>
            </w:r>
          </w:p>
        </w:tc>
        <w:tc>
          <w:tcPr>
            <w:tcW w:w="8789" w:type="dxa"/>
            <w:tcBorders>
              <w:top w:val="single" w:sz="4" w:space="0" w:color="auto"/>
              <w:left w:val="single" w:sz="4" w:space="0" w:color="auto"/>
              <w:bottom w:val="single" w:sz="4" w:space="0" w:color="auto"/>
              <w:right w:val="single" w:sz="4" w:space="0" w:color="auto"/>
            </w:tcBorders>
          </w:tcPr>
          <w:p w14:paraId="3D9AA8F4" w14:textId="77777777"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ebből: Földterületszerzéssel, fejlesztéssel és építéssel szembeni kitettségek</w:t>
            </w:r>
          </w:p>
          <w:p w14:paraId="35087895" w14:textId="03A7A920"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Az 575/2013/EU rendelet 4. cikke (1) bekezdésének 78a. pontjában meghatározott földterületszerzéssel, fejlesztéssel és építéssel szembeni kitettségek (ADC-kitettségek).</w:t>
            </w:r>
          </w:p>
        </w:tc>
      </w:tr>
      <w:tr w:rsidR="00FB3D09" w:rsidRPr="002A677E" w14:paraId="14B5922C" w14:textId="77777777" w:rsidTr="00822842">
        <w:tc>
          <w:tcPr>
            <w:tcW w:w="1242" w:type="dxa"/>
          </w:tcPr>
          <w:p w14:paraId="50BD9484" w14:textId="77777777" w:rsidR="00FB3D09" w:rsidRPr="002A677E" w:rsidRDefault="00FB3D09" w:rsidP="00822842">
            <w:pPr>
              <w:rPr>
                <w:rFonts w:ascii="Times New Roman" w:hAnsi="Times New Roman"/>
                <w:sz w:val="24"/>
              </w:rPr>
            </w:pPr>
            <w:r>
              <w:rPr>
                <w:rFonts w:ascii="Times New Roman" w:hAnsi="Times New Roman"/>
                <w:sz w:val="24"/>
              </w:rPr>
              <w:t>0020–0060</w:t>
            </w:r>
          </w:p>
        </w:tc>
        <w:tc>
          <w:tcPr>
            <w:tcW w:w="8789" w:type="dxa"/>
          </w:tcPr>
          <w:p w14:paraId="13F7639F" w14:textId="77777777" w:rsidR="00FB3D09" w:rsidRPr="00B7761D" w:rsidRDefault="00FB3D09" w:rsidP="00822842">
            <w:pPr>
              <w:rPr>
                <w:rFonts w:ascii="Times New Roman" w:hAnsi="Times New Roman"/>
                <w:b/>
                <w:sz w:val="24"/>
                <w:u w:val="single"/>
              </w:rPr>
            </w:pPr>
            <w:r>
              <w:rPr>
                <w:rFonts w:ascii="Times New Roman" w:hAnsi="Times New Roman"/>
                <w:b/>
                <w:sz w:val="24"/>
                <w:u w:val="single"/>
              </w:rPr>
              <w:t>A TELJES KITETTSÉG KITETTSÉGTÍPUS SZERINTI BONTÁSA</w:t>
            </w:r>
          </w:p>
        </w:tc>
      </w:tr>
      <w:tr w:rsidR="00FB3D09" w:rsidRPr="002A677E" w14:paraId="709208F4" w14:textId="77777777" w:rsidTr="00822842">
        <w:tc>
          <w:tcPr>
            <w:tcW w:w="1242" w:type="dxa"/>
          </w:tcPr>
          <w:p w14:paraId="14B5596F"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789" w:type="dxa"/>
          </w:tcPr>
          <w:p w14:paraId="0C34BAB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Hitelkockázattal érintett mérlegen belüli tételek </w:t>
            </w:r>
          </w:p>
          <w:p w14:paraId="5DEAB0BA" w14:textId="77777777" w:rsidR="00FB3D09" w:rsidRPr="002A677E" w:rsidRDefault="00FB3D09" w:rsidP="00822842">
            <w:pPr>
              <w:rPr>
                <w:rStyle w:val="InstructionsTabelleText"/>
                <w:rFonts w:ascii="Times New Roman" w:hAnsi="Times New Roman"/>
                <w:sz w:val="24"/>
              </w:rPr>
            </w:pPr>
            <w:r>
              <w:rPr>
                <w:rFonts w:ascii="Times New Roman" w:hAnsi="Times New Roman"/>
                <w:sz w:val="24"/>
              </w:rPr>
              <w:t>Az 575/2013/EU rendelet 24. cikkében említett eszközök más kategóriába nem sorolhatók.</w:t>
            </w:r>
          </w:p>
          <w:p w14:paraId="0F8AB1A8"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A partnerkockázattal érintett kitettségeket nem ebben a sorban, hanem a 0040–0060-as sorban kell feltüntetni.</w:t>
            </w:r>
          </w:p>
          <w:p w14:paraId="3D5E954A" w14:textId="180041B5" w:rsidR="00FB3D09" w:rsidRPr="002A677E" w:rsidRDefault="00FB3D09" w:rsidP="00822842">
            <w:pPr>
              <w:rPr>
                <w:rFonts w:ascii="Times New Roman" w:hAnsi="Times New Roman"/>
                <w:sz w:val="24"/>
              </w:rPr>
            </w:pPr>
            <w:r>
              <w:rPr>
                <w:rFonts w:ascii="Times New Roman" w:hAnsi="Times New Roman"/>
                <w:sz w:val="24"/>
              </w:rPr>
              <w:t>Az 575/2013/EU rendelet 379. cikkének (1) bekezdésében említett nyitva szállítások (amennyiben nem vonták le azokat) nem minősülnek mérlegen belüli tételnek, azonban azokat ebben a sorban fel kell tüntetni.</w:t>
            </w:r>
          </w:p>
        </w:tc>
      </w:tr>
      <w:tr w:rsidR="00FB3D09" w:rsidRPr="002A677E" w14:paraId="3FC1F87B" w14:textId="77777777" w:rsidTr="00822842">
        <w:tc>
          <w:tcPr>
            <w:tcW w:w="1242" w:type="dxa"/>
          </w:tcPr>
          <w:p w14:paraId="2D6E6703"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789" w:type="dxa"/>
          </w:tcPr>
          <w:p w14:paraId="7F72A6F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Hitelkockázattal érintett mérlegen kívüli tételek</w:t>
            </w:r>
          </w:p>
          <w:p w14:paraId="6C7D545C" w14:textId="77777777" w:rsidR="00FB3D09" w:rsidRPr="002A677E" w:rsidRDefault="00FB3D09" w:rsidP="00822842">
            <w:pPr>
              <w:rPr>
                <w:rStyle w:val="InstructionsTabelleText"/>
                <w:rFonts w:ascii="Times New Roman" w:hAnsi="Times New Roman"/>
                <w:sz w:val="24"/>
              </w:rPr>
            </w:pPr>
            <w:r>
              <w:rPr>
                <w:rFonts w:ascii="Times New Roman" w:hAnsi="Times New Roman"/>
                <w:sz w:val="24"/>
              </w:rPr>
              <w:t>A mérlegen kívüli tételek közé tartoznak az 575/2013/EU rendelet 166. cikkének (8) bekezdése szerinti tételek, valamint az említett rendelet I. mellékletében felsorolt tételek.</w:t>
            </w:r>
          </w:p>
          <w:p w14:paraId="4AE7F57F" w14:textId="266D9AC7" w:rsidR="00FB3D09" w:rsidRPr="002A677E" w:rsidRDefault="00FB3D09" w:rsidP="00822842">
            <w:pPr>
              <w:rPr>
                <w:rFonts w:ascii="Times New Roman" w:hAnsi="Times New Roman"/>
                <w:sz w:val="24"/>
              </w:rPr>
            </w:pPr>
            <w:r>
              <w:rPr>
                <w:rStyle w:val="InstructionsTabelleText"/>
                <w:rFonts w:ascii="Times New Roman" w:hAnsi="Times New Roman"/>
                <w:sz w:val="24"/>
              </w:rPr>
              <w:t>A partnerkockázattal érintett kitettségeket nem ebben a sorban, hanem a 0040–0060-as sorban kell feltüntetni.</w:t>
            </w:r>
          </w:p>
        </w:tc>
      </w:tr>
      <w:tr w:rsidR="00FB3D09" w:rsidRPr="002A677E" w14:paraId="6A82A5B3" w14:textId="77777777" w:rsidTr="00822842">
        <w:tc>
          <w:tcPr>
            <w:tcW w:w="1242" w:type="dxa"/>
          </w:tcPr>
          <w:p w14:paraId="0F665D61" w14:textId="77777777" w:rsidR="00FB3D09" w:rsidRPr="002A677E" w:rsidRDefault="00FB3D09" w:rsidP="00822842">
            <w:pPr>
              <w:rPr>
                <w:rFonts w:ascii="Times New Roman" w:hAnsi="Times New Roman"/>
                <w:sz w:val="24"/>
              </w:rPr>
            </w:pPr>
            <w:r>
              <w:rPr>
                <w:rStyle w:val="InstructionsTabelleText"/>
                <w:rFonts w:ascii="Times New Roman" w:hAnsi="Times New Roman"/>
                <w:sz w:val="24"/>
              </w:rPr>
              <w:t>0040–0060</w:t>
            </w:r>
          </w:p>
        </w:tc>
        <w:tc>
          <w:tcPr>
            <w:tcW w:w="8789" w:type="dxa"/>
          </w:tcPr>
          <w:p w14:paraId="65190BC8"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Partnerkockázattal érintett kitettségek/ügyletek</w:t>
            </w:r>
          </w:p>
          <w:p w14:paraId="0CE5E4AE" w14:textId="77777777" w:rsidR="00FB3D09" w:rsidRPr="002A677E" w:rsidRDefault="00FB3D09" w:rsidP="00822842">
            <w:pPr>
              <w:rPr>
                <w:rFonts w:ascii="Times New Roman" w:hAnsi="Times New Roman"/>
                <w:b/>
                <w:sz w:val="24"/>
                <w:u w:val="single"/>
              </w:rPr>
            </w:pPr>
            <w:r>
              <w:rPr>
                <w:rFonts w:ascii="Times New Roman" w:hAnsi="Times New Roman"/>
                <w:sz w:val="24"/>
              </w:rPr>
              <w:t>Lásd a megfelelő CR SA útmutatást a 0090–0130-as sorban.</w:t>
            </w:r>
          </w:p>
        </w:tc>
      </w:tr>
      <w:tr w:rsidR="00FB3D09" w:rsidRPr="002A677E" w14:paraId="4836D530" w14:textId="77777777" w:rsidTr="00822842">
        <w:tc>
          <w:tcPr>
            <w:tcW w:w="1242" w:type="dxa"/>
          </w:tcPr>
          <w:p w14:paraId="311BB09A"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789" w:type="dxa"/>
          </w:tcPr>
          <w:p w14:paraId="0E52BEFE"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Értékpapír-finanszírozási ügyletek nettósítási halmazai</w:t>
            </w:r>
          </w:p>
          <w:p w14:paraId="1D8D13A1" w14:textId="4C7B9569" w:rsidR="00FB3D09" w:rsidRPr="002A677E" w:rsidRDefault="00FB3D09" w:rsidP="00822842">
            <w:pPr>
              <w:rPr>
                <w:rFonts w:ascii="Times New Roman" w:hAnsi="Times New Roman"/>
                <w:sz w:val="24"/>
              </w:rPr>
            </w:pPr>
            <w:r>
              <w:rPr>
                <w:rFonts w:ascii="Times New Roman" w:hAnsi="Times New Roman"/>
                <w:sz w:val="24"/>
              </w:rPr>
              <w:t>Lásd a megfelelő CR SA útmutatást a 0090-es sorban.</w:t>
            </w:r>
          </w:p>
        </w:tc>
      </w:tr>
      <w:tr w:rsidR="00FB3D09" w:rsidRPr="002A677E" w14:paraId="1E4C52D2" w14:textId="77777777" w:rsidTr="00822842">
        <w:tc>
          <w:tcPr>
            <w:tcW w:w="1242" w:type="dxa"/>
          </w:tcPr>
          <w:p w14:paraId="7A9D7A23"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789" w:type="dxa"/>
          </w:tcPr>
          <w:p w14:paraId="0663798B"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Származtatott és hosszú kiegyenlítési idejű ügyletek nettósítási halmazai</w:t>
            </w:r>
          </w:p>
          <w:p w14:paraId="2C85A65F" w14:textId="5742CCE7" w:rsidR="00FB3D09" w:rsidRPr="002A677E" w:rsidRDefault="00FB3D09" w:rsidP="00822842">
            <w:pPr>
              <w:rPr>
                <w:rFonts w:ascii="Times New Roman" w:hAnsi="Times New Roman"/>
                <w:sz w:val="24"/>
              </w:rPr>
            </w:pPr>
            <w:r>
              <w:rPr>
                <w:rFonts w:ascii="Times New Roman" w:hAnsi="Times New Roman"/>
                <w:sz w:val="24"/>
              </w:rPr>
              <w:t>Lásd a megfelelő CR SA útmutatást a 0110-es sorban.</w:t>
            </w:r>
          </w:p>
        </w:tc>
      </w:tr>
      <w:tr w:rsidR="00FB3D09" w:rsidRPr="002A677E" w14:paraId="325075B4" w14:textId="77777777" w:rsidTr="00822842">
        <w:tc>
          <w:tcPr>
            <w:tcW w:w="1242" w:type="dxa"/>
          </w:tcPr>
          <w:p w14:paraId="711200A0"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789" w:type="dxa"/>
          </w:tcPr>
          <w:p w14:paraId="5AAEFF1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Eltérő termékkategóriák közötti nettósításról szóló szerződéses megállapodásból származó nettósítási halmazok</w:t>
            </w:r>
          </w:p>
          <w:p w14:paraId="067E31FD" w14:textId="77777777" w:rsidR="00FB3D09" w:rsidRPr="002A677E" w:rsidRDefault="00FB3D09" w:rsidP="00822842">
            <w:pPr>
              <w:rPr>
                <w:rFonts w:ascii="Times New Roman" w:hAnsi="Times New Roman"/>
                <w:sz w:val="24"/>
              </w:rPr>
            </w:pPr>
            <w:r>
              <w:rPr>
                <w:rFonts w:ascii="Times New Roman" w:hAnsi="Times New Roman"/>
                <w:sz w:val="24"/>
              </w:rPr>
              <w:t>Lásd a megfelelő CR SA útmutatást a 0130-es sorban.</w:t>
            </w:r>
          </w:p>
        </w:tc>
      </w:tr>
      <w:tr w:rsidR="00FB3D09" w:rsidRPr="002A677E" w14:paraId="4497C028" w14:textId="77777777" w:rsidTr="00822842">
        <w:tc>
          <w:tcPr>
            <w:tcW w:w="1242" w:type="dxa"/>
          </w:tcPr>
          <w:p w14:paraId="53C0361C" w14:textId="77777777" w:rsidR="00FB3D09" w:rsidRPr="002A677E" w:rsidRDefault="00FB3D09" w:rsidP="00822842">
            <w:pPr>
              <w:rPr>
                <w:rFonts w:ascii="Times New Roman" w:hAnsi="Times New Roman"/>
                <w:sz w:val="24"/>
              </w:rPr>
            </w:pPr>
            <w:r>
              <w:rPr>
                <w:rFonts w:ascii="Times New Roman" w:hAnsi="Times New Roman"/>
                <w:sz w:val="24"/>
              </w:rPr>
              <w:t>0070</w:t>
            </w:r>
          </w:p>
        </w:tc>
        <w:tc>
          <w:tcPr>
            <w:tcW w:w="8789" w:type="dxa"/>
          </w:tcPr>
          <w:p w14:paraId="0FE8A119"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ÜGYFÉLKATEGÓRIÁKBA VAGY –HALMAZOKBA (POOLOKBA) SOROLT KITETTSÉGEK: ÖSSZESEN</w:t>
            </w:r>
          </w:p>
          <w:p w14:paraId="6A78F626" w14:textId="77777777" w:rsidR="00FB3D09" w:rsidRPr="002A677E" w:rsidRDefault="00FB3D09" w:rsidP="00822842">
            <w:pPr>
              <w:rPr>
                <w:rFonts w:ascii="Times New Roman" w:hAnsi="Times New Roman"/>
                <w:sz w:val="24"/>
              </w:rPr>
            </w:pPr>
            <w:r>
              <w:rPr>
                <w:rFonts w:ascii="Times New Roman" w:hAnsi="Times New Roman"/>
                <w:sz w:val="24"/>
              </w:rPr>
              <w:t xml:space="preserve">Vállalkozásokkal, intézményekkel és központi kormányzatokkal, valamint központi bankokkal szembeni kitettségekkel kapcsolatban lásd az 575/2013/EU rendelet 142. cikke (1) bekezdésének 6. pontját, valamint 170. cikke (1) bekezdésének c) pontját. </w:t>
            </w:r>
          </w:p>
          <w:p w14:paraId="3D88073E" w14:textId="77777777" w:rsidR="00FB3D09" w:rsidRPr="002A677E" w:rsidRDefault="00FB3D09" w:rsidP="00822842">
            <w:pPr>
              <w:rPr>
                <w:rFonts w:ascii="Times New Roman" w:hAnsi="Times New Roman"/>
                <w:sz w:val="24"/>
              </w:rPr>
            </w:pPr>
            <w:r>
              <w:rPr>
                <w:rFonts w:ascii="Times New Roman" w:hAnsi="Times New Roman"/>
                <w:sz w:val="24"/>
              </w:rPr>
              <w:lastRenderedPageBreak/>
              <w:t xml:space="preserve">A lakossági kitettségekkel kapcsolatban lásd az 575/2013/EU rendelet 170. cikke (3) bekezdésének b) pontját. A vásárolt követelésekből eredő kitettségekkel kapcsolatban lásd az 575/2013/EU rendelet 166. cikkének (6) bekezdését. </w:t>
            </w:r>
          </w:p>
          <w:p w14:paraId="268A9D88" w14:textId="77777777" w:rsidR="00FB3D09" w:rsidRPr="002A677E" w:rsidRDefault="00FB3D09" w:rsidP="00822842">
            <w:pPr>
              <w:rPr>
                <w:rFonts w:ascii="Times New Roman" w:hAnsi="Times New Roman"/>
                <w:sz w:val="24"/>
              </w:rPr>
            </w:pPr>
            <w:r>
              <w:rPr>
                <w:rFonts w:ascii="Times New Roman" w:hAnsi="Times New Roman"/>
                <w:sz w:val="24"/>
              </w:rPr>
              <w:t>A vásárolt követelések felhígulási kockázatával összefüggő kitettségeket nem kell kötelezetti kategóriák és halmazok szerint jelenteni, így az ilyen kitettségeket a 0180-as sorban kell feltüntetni.</w:t>
            </w:r>
          </w:p>
          <w:p w14:paraId="2ECA333D" w14:textId="77777777" w:rsidR="00FB3D09" w:rsidRPr="002A677E" w:rsidRDefault="00FB3D09" w:rsidP="00822842">
            <w:pPr>
              <w:rPr>
                <w:rFonts w:ascii="Times New Roman" w:hAnsi="Times New Roman"/>
                <w:sz w:val="24"/>
              </w:rPr>
            </w:pPr>
            <w:r>
              <w:rPr>
                <w:rFonts w:ascii="Times New Roman" w:hAnsi="Times New Roman"/>
                <w:sz w:val="24"/>
              </w:rPr>
              <w:t xml:space="preserve">Ha az intézmény nagyszámú ügyfélkategóriát vagy -halmazt alkalmaz, akkor adatszolgáltatási célból a kategóriák vagy -halmazok csökkentett számáról állapodhat meg az illetékes hatóságokkal. </w:t>
            </w:r>
          </w:p>
          <w:p w14:paraId="1E1C73EB" w14:textId="77777777" w:rsidR="00FB3D09" w:rsidRPr="002A677E" w:rsidRDefault="00FB3D09" w:rsidP="00822842">
            <w:pPr>
              <w:rPr>
                <w:rFonts w:ascii="Times New Roman" w:hAnsi="Times New Roman"/>
                <w:sz w:val="24"/>
              </w:rPr>
            </w:pPr>
            <w:r>
              <w:rPr>
                <w:rFonts w:ascii="Times New Roman" w:hAnsi="Times New Roman"/>
                <w:sz w:val="24"/>
              </w:rPr>
              <w:t xml:space="preserve">Nincs irányadó felügyeleti skála. Ehelyett az intézmények az alkalmazni kívánt skálát saját maguk határozzák meg. </w:t>
            </w:r>
          </w:p>
        </w:tc>
      </w:tr>
      <w:tr w:rsidR="00FB3D09" w:rsidRPr="002A677E" w14:paraId="1A5B7F57" w14:textId="77777777" w:rsidTr="00822842">
        <w:tc>
          <w:tcPr>
            <w:tcW w:w="1242" w:type="dxa"/>
          </w:tcPr>
          <w:p w14:paraId="0CB3AACE" w14:textId="77777777" w:rsidR="00FB3D09" w:rsidRPr="002A677E" w:rsidRDefault="00FB3D09" w:rsidP="00822842">
            <w:pPr>
              <w:rPr>
                <w:rFonts w:ascii="Times New Roman" w:hAnsi="Times New Roman"/>
                <w:sz w:val="24"/>
              </w:rPr>
            </w:pPr>
            <w:r>
              <w:rPr>
                <w:rFonts w:ascii="Times New Roman" w:hAnsi="Times New Roman"/>
                <w:sz w:val="24"/>
              </w:rPr>
              <w:lastRenderedPageBreak/>
              <w:t>0080</w:t>
            </w:r>
          </w:p>
        </w:tc>
        <w:tc>
          <w:tcPr>
            <w:tcW w:w="8789" w:type="dxa"/>
          </w:tcPr>
          <w:p w14:paraId="63AC665E" w14:textId="77777777" w:rsidR="00FB3D09" w:rsidRPr="002A677E" w:rsidRDefault="00FB3D09" w:rsidP="00822842">
            <w:pPr>
              <w:rPr>
                <w:rFonts w:ascii="Times New Roman" w:hAnsi="Times New Roman"/>
                <w:sz w:val="24"/>
              </w:rPr>
            </w:pPr>
            <w:r>
              <w:rPr>
                <w:rFonts w:ascii="Times New Roman" w:hAnsi="Times New Roman"/>
                <w:b/>
                <w:sz w:val="24"/>
                <w:u w:val="single"/>
              </w:rPr>
              <w:t>SLOTTING MÓDSZER SZERINTI SPECIÁLIS HITELEZÉSI KITETTSÉGEK: ÖSSZESEN</w:t>
            </w:r>
          </w:p>
          <w:p w14:paraId="67E01391" w14:textId="77777777" w:rsidR="00FB3D09" w:rsidRPr="002A677E" w:rsidRDefault="00FB3D09" w:rsidP="00822842">
            <w:pPr>
              <w:rPr>
                <w:rFonts w:ascii="Times New Roman" w:hAnsi="Times New Roman"/>
                <w:sz w:val="24"/>
              </w:rPr>
            </w:pPr>
            <w:r>
              <w:rPr>
                <w:rFonts w:ascii="Times New Roman" w:hAnsi="Times New Roman"/>
                <w:sz w:val="24"/>
              </w:rPr>
              <w:t xml:space="preserve">Az 575/2013/EU rendelet 153. cikkének (5) bekezdése. Ez csak a „vállalati – speciális hitelezés” kitettségi osztályára vonatkozik. </w:t>
            </w:r>
          </w:p>
        </w:tc>
      </w:tr>
      <w:tr w:rsidR="00FB3D09" w:rsidRPr="002A677E" w14:paraId="56D99296" w14:textId="77777777" w:rsidTr="00822842">
        <w:tc>
          <w:tcPr>
            <w:tcW w:w="1242" w:type="dxa"/>
          </w:tcPr>
          <w:p w14:paraId="4330E208" w14:textId="77777777" w:rsidR="00FB3D09" w:rsidRPr="002A677E" w:rsidRDefault="00FB3D09" w:rsidP="00822842">
            <w:pPr>
              <w:rPr>
                <w:rFonts w:ascii="Times New Roman" w:hAnsi="Times New Roman"/>
                <w:sz w:val="24"/>
              </w:rPr>
            </w:pPr>
            <w:r>
              <w:rPr>
                <w:rFonts w:ascii="Times New Roman" w:hAnsi="Times New Roman"/>
                <w:sz w:val="24"/>
              </w:rPr>
              <w:t>0160</w:t>
            </w:r>
          </w:p>
        </w:tc>
        <w:tc>
          <w:tcPr>
            <w:tcW w:w="8789" w:type="dxa"/>
          </w:tcPr>
          <w:p w14:paraId="455C13F0"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ALTERNATÍV KEZELÉS: INGATLANNAL FEDEZETT</w:t>
            </w:r>
          </w:p>
          <w:p w14:paraId="7875BF84" w14:textId="77777777" w:rsidR="00FB3D09" w:rsidRPr="002A677E" w:rsidRDefault="00FB3D09" w:rsidP="00822842">
            <w:pPr>
              <w:rPr>
                <w:rFonts w:ascii="Times New Roman" w:hAnsi="Times New Roman"/>
                <w:sz w:val="24"/>
              </w:rPr>
            </w:pPr>
            <w:r>
              <w:rPr>
                <w:rFonts w:ascii="Times New Roman" w:hAnsi="Times New Roman"/>
                <w:sz w:val="24"/>
              </w:rPr>
              <w:t>Az 575/2013/EU rendelet 193. cikkének (1) és (2) bekezdése, 194. cikkének (1)–(7) bekezdése és 230. cikkének (3) bekezdése.</w:t>
            </w:r>
          </w:p>
          <w:p w14:paraId="58412948" w14:textId="77777777" w:rsidR="00FB3D09" w:rsidRPr="002A677E" w:rsidRDefault="00FB3D09" w:rsidP="00822842">
            <w:pPr>
              <w:rPr>
                <w:rFonts w:ascii="Times New Roman" w:hAnsi="Times New Roman"/>
                <w:sz w:val="24"/>
              </w:rPr>
            </w:pPr>
            <w:r>
              <w:rPr>
                <w:rFonts w:ascii="Times New Roman" w:hAnsi="Times New Roman"/>
                <w:sz w:val="24"/>
              </w:rPr>
              <w:t>Ez az alternatíva csak az IRB alapmódszert alkalmazó intézmények számára áll rendelkezésre.</w:t>
            </w:r>
          </w:p>
        </w:tc>
      </w:tr>
      <w:tr w:rsidR="00FB3D09" w:rsidRPr="002A677E" w14:paraId="65DA4F0E" w14:textId="77777777" w:rsidTr="00822842">
        <w:tc>
          <w:tcPr>
            <w:tcW w:w="1242" w:type="dxa"/>
          </w:tcPr>
          <w:p w14:paraId="73D95FC1" w14:textId="77777777" w:rsidR="00FB3D09" w:rsidRPr="002A677E" w:rsidRDefault="00FB3D09" w:rsidP="00822842">
            <w:pPr>
              <w:rPr>
                <w:rFonts w:ascii="Times New Roman" w:hAnsi="Times New Roman"/>
                <w:sz w:val="24"/>
              </w:rPr>
            </w:pPr>
            <w:r>
              <w:rPr>
                <w:rFonts w:ascii="Times New Roman" w:hAnsi="Times New Roman"/>
                <w:sz w:val="24"/>
              </w:rPr>
              <w:t>0170</w:t>
            </w:r>
          </w:p>
        </w:tc>
        <w:tc>
          <w:tcPr>
            <w:tcW w:w="8789" w:type="dxa"/>
          </w:tcPr>
          <w:p w14:paraId="753B5217"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NYITVA SZÁLLÍTÁSBÓL EREDŐ, ALTERNATÍV KEZELÉS ALAPJÁN MEGÁLLAPÍTOTT VAGY 100 %-OS KOCKÁZATI SÚLYÚ KITETTSÉGEK, VALAMINT EGYÉB, KOCKÁZATI SÚLYOZÁS ALÁ TARTOZÓ KITETTSÉGEK</w:t>
            </w:r>
          </w:p>
          <w:p w14:paraId="7FC93A9B" w14:textId="77777777" w:rsidR="00FB3D09" w:rsidRPr="002A677E" w:rsidRDefault="00FB3D09" w:rsidP="00822842">
            <w:pPr>
              <w:rPr>
                <w:rFonts w:ascii="Times New Roman" w:hAnsi="Times New Roman"/>
                <w:sz w:val="24"/>
              </w:rPr>
            </w:pPr>
            <w:r>
              <w:rPr>
                <w:rFonts w:ascii="Times New Roman" w:hAnsi="Times New Roman"/>
                <w:sz w:val="24"/>
              </w:rPr>
              <w:t>Olyan nyitva szállításokból eredő kitettségek, amelyek az 575/2013/EU rendelet 379. cikke (2) bekezdése első albekezdésének utolsó mondatában említett alternatív kezelés körébe tartoznak, vagy amelyek az 575/2013/EU rendelet 379. cikke (2) bekezdésének utolsó albekezdése alapján 100 %-os kockázati súlyt kapnak. A nem minősített, az 575/2013/EU rendelet 153. cikkének (8) bekezdése szerinti n-edik nemteljesítéskor lehívható hitelderivatívákat, valamint a máshová nem sorolt, kockázati súlyozás alá tartozó egyéb kitettségeket ebben a sorban kell feltüntetni.</w:t>
            </w:r>
          </w:p>
        </w:tc>
      </w:tr>
      <w:tr w:rsidR="00FB3D09" w:rsidRPr="002A677E" w14:paraId="645730D7" w14:textId="77777777" w:rsidTr="00822842">
        <w:tc>
          <w:tcPr>
            <w:tcW w:w="1242" w:type="dxa"/>
          </w:tcPr>
          <w:p w14:paraId="0317CAF2" w14:textId="77777777" w:rsidR="00FB3D09" w:rsidRPr="002A677E" w:rsidRDefault="00FB3D09" w:rsidP="00822842">
            <w:pPr>
              <w:rPr>
                <w:rFonts w:ascii="Times New Roman" w:hAnsi="Times New Roman"/>
                <w:sz w:val="24"/>
              </w:rPr>
            </w:pPr>
            <w:r>
              <w:rPr>
                <w:rFonts w:ascii="Times New Roman" w:hAnsi="Times New Roman"/>
                <w:sz w:val="24"/>
              </w:rPr>
              <w:t>0180</w:t>
            </w:r>
          </w:p>
        </w:tc>
        <w:tc>
          <w:tcPr>
            <w:tcW w:w="8789" w:type="dxa"/>
          </w:tcPr>
          <w:p w14:paraId="42D146E2"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FELHÍGULÁSI KOCKÁZAT: VÁSÁROLT KÖVETELÉSEK ÖSSZESEN</w:t>
            </w:r>
          </w:p>
          <w:p w14:paraId="1ADE7C67" w14:textId="5F3B1E00" w:rsidR="00FB3D09" w:rsidRPr="002A677E" w:rsidRDefault="00FB3D09" w:rsidP="00822842">
            <w:pPr>
              <w:rPr>
                <w:rFonts w:ascii="Times New Roman" w:hAnsi="Times New Roman"/>
                <w:sz w:val="24"/>
              </w:rPr>
            </w:pPr>
            <w:r>
              <w:rPr>
                <w:rFonts w:ascii="Times New Roman" w:hAnsi="Times New Roman"/>
                <w:sz w:val="24"/>
              </w:rPr>
              <w:t>A felhígulási kockázat meghatározását az 575/2013/EU rendelet 4. cikke (1) bekezdésének 53. pontja tartalmazza. A felhígulási kockázatra vonatkozó kockázattal súlyozott kitettségértékek kiszámításával kapcsolatban lásd az 575/2013/EU rendelet 157. cikkét. A felhígulási kockázatról a vállalati és lakossági vásárolt követelések esetében kell adatot szolgáltatni.</w:t>
            </w:r>
          </w:p>
        </w:tc>
      </w:tr>
      <w:tr w:rsidR="00FB3D09" w:rsidRPr="002A677E" w14:paraId="2103336C" w14:textId="77777777" w:rsidTr="00822842">
        <w:trPr>
          <w:trHeight w:val="300"/>
        </w:trPr>
        <w:tc>
          <w:tcPr>
            <w:tcW w:w="1242" w:type="dxa"/>
          </w:tcPr>
          <w:p w14:paraId="7FF9957F" w14:textId="06F9FE7A" w:rsidR="00FB3D09" w:rsidRPr="00B75318" w:rsidRDefault="00FB3D09" w:rsidP="00822842">
            <w:pPr>
              <w:rPr>
                <w:rFonts w:ascii="Times New Roman" w:hAnsi="Times New Roman"/>
                <w:sz w:val="24"/>
              </w:rPr>
            </w:pPr>
            <w:r>
              <w:rPr>
                <w:rFonts w:ascii="Times New Roman" w:hAnsi="Times New Roman"/>
                <w:sz w:val="24"/>
              </w:rPr>
              <w:t>0190–0210</w:t>
            </w:r>
          </w:p>
        </w:tc>
        <w:tc>
          <w:tcPr>
            <w:tcW w:w="8789" w:type="dxa"/>
          </w:tcPr>
          <w:p w14:paraId="24E930D5" w14:textId="57FAC10C" w:rsidR="00FB3D09" w:rsidRPr="00B75318" w:rsidRDefault="00FB3D09" w:rsidP="00822842">
            <w:pPr>
              <w:rPr>
                <w:rFonts w:ascii="Times New Roman" w:hAnsi="Times New Roman"/>
                <w:b/>
                <w:bCs/>
                <w:sz w:val="24"/>
                <w:u w:val="single"/>
              </w:rPr>
            </w:pPr>
            <w:r>
              <w:rPr>
                <w:rFonts w:ascii="Times New Roman" w:hAnsi="Times New Roman"/>
                <w:b/>
                <w:sz w:val="24"/>
                <w:u w:val="single"/>
              </w:rPr>
              <w:t>TELJES KITETTSÉG MÓDSZER SZERINTI BONTÁSA (KBF):</w:t>
            </w:r>
          </w:p>
        </w:tc>
      </w:tr>
      <w:tr w:rsidR="00FB3D09" w:rsidRPr="002A677E" w14:paraId="62E31418" w14:textId="77777777" w:rsidTr="00822842">
        <w:trPr>
          <w:trHeight w:val="300"/>
        </w:trPr>
        <w:tc>
          <w:tcPr>
            <w:tcW w:w="1242" w:type="dxa"/>
          </w:tcPr>
          <w:p w14:paraId="12D87A1F" w14:textId="77777777" w:rsidR="00FB3D09" w:rsidRPr="00B75318" w:rsidRDefault="00FB3D09" w:rsidP="00822842">
            <w:pPr>
              <w:rPr>
                <w:rFonts w:ascii="Times New Roman" w:hAnsi="Times New Roman"/>
                <w:sz w:val="24"/>
              </w:rPr>
            </w:pPr>
            <w:r>
              <w:rPr>
                <w:rFonts w:ascii="Times New Roman" w:hAnsi="Times New Roman"/>
                <w:sz w:val="24"/>
              </w:rPr>
              <w:t>0190</w:t>
            </w:r>
          </w:p>
        </w:tc>
        <w:tc>
          <w:tcPr>
            <w:tcW w:w="8789" w:type="dxa"/>
          </w:tcPr>
          <w:p w14:paraId="15D1C078" w14:textId="3090FC4B" w:rsidR="00FB3D09" w:rsidRPr="00B75318" w:rsidRDefault="00FB3D09" w:rsidP="00822842">
            <w:pPr>
              <w:rPr>
                <w:rStyle w:val="InstructionsTabelleberschrift"/>
                <w:rFonts w:ascii="Times New Roman" w:hAnsi="Times New Roman"/>
                <w:sz w:val="24"/>
              </w:rPr>
            </w:pPr>
            <w:r>
              <w:rPr>
                <w:rFonts w:ascii="Times New Roman" w:hAnsi="Times New Roman"/>
                <w:b/>
                <w:sz w:val="24"/>
                <w:u w:val="single"/>
              </w:rPr>
              <w:t>Az áttekintés elve</w:t>
            </w:r>
          </w:p>
          <w:p w14:paraId="2AD180D4" w14:textId="3719286C" w:rsidR="00FB3D09" w:rsidRPr="00B75318" w:rsidRDefault="00FB3D09" w:rsidP="00822842">
            <w:pPr>
              <w:spacing w:after="160" w:line="257" w:lineRule="auto"/>
              <w:rPr>
                <w:rFonts w:ascii="Times New Roman" w:eastAsia="Calibri" w:hAnsi="Times New Roman"/>
                <w:color w:val="000000" w:themeColor="text1"/>
                <w:sz w:val="24"/>
              </w:rPr>
            </w:pPr>
            <w:r>
              <w:rPr>
                <w:rFonts w:ascii="Times New Roman" w:hAnsi="Times New Roman"/>
                <w:color w:val="000000" w:themeColor="text1"/>
                <w:sz w:val="24"/>
              </w:rPr>
              <w:lastRenderedPageBreak/>
              <w:t>Az 575/2013/EU rendelet</w:t>
            </w:r>
            <w:r>
              <w:rPr>
                <w:rFonts w:ascii="Times New Roman" w:hAnsi="Times New Roman"/>
                <w:sz w:val="24"/>
              </w:rPr>
              <w:t xml:space="preserve"> 152. cikkének (1) bekezdése</w:t>
            </w:r>
          </w:p>
          <w:p w14:paraId="42481890" w14:textId="79FAD87D" w:rsidR="00FB3D09" w:rsidRPr="00B75318" w:rsidRDefault="00FB3D09" w:rsidP="00822842">
            <w:pPr>
              <w:rPr>
                <w:rFonts w:ascii="Times New Roman" w:hAnsi="Times New Roman"/>
                <w:sz w:val="24"/>
              </w:rPr>
            </w:pPr>
            <w:r>
              <w:rPr>
                <w:rFonts w:ascii="Times New Roman" w:hAnsi="Times New Roman"/>
                <w:sz w:val="24"/>
              </w:rPr>
              <w:t>Ezt a sort a „Kollektív befektetési formák (KBF)” kitettségi osztály tekintetében és az összesítő munkalapon kell megadni. Emellett tájékoztató adatként meg kell adni a többi IRB kitettségi osztály tekintetében is, mivel IRB-módszer alkalmazása esetén az alapul szolgáló kitettségeket be kell sorolni a megfelelő kitettségi osztályba.</w:t>
            </w:r>
          </w:p>
        </w:tc>
      </w:tr>
      <w:tr w:rsidR="00FB3D09" w:rsidRPr="002A677E" w14:paraId="66E7EEA8" w14:textId="77777777" w:rsidTr="00822842">
        <w:trPr>
          <w:trHeight w:val="300"/>
        </w:trPr>
        <w:tc>
          <w:tcPr>
            <w:tcW w:w="1242" w:type="dxa"/>
          </w:tcPr>
          <w:p w14:paraId="3C86B702" w14:textId="77777777" w:rsidR="00FB3D09" w:rsidRPr="00B75318" w:rsidRDefault="00FB3D09" w:rsidP="00822842">
            <w:pPr>
              <w:rPr>
                <w:rFonts w:ascii="Times New Roman" w:hAnsi="Times New Roman"/>
                <w:sz w:val="24"/>
              </w:rPr>
            </w:pPr>
            <w:r>
              <w:rPr>
                <w:rFonts w:ascii="Times New Roman" w:hAnsi="Times New Roman"/>
                <w:sz w:val="24"/>
              </w:rPr>
              <w:lastRenderedPageBreak/>
              <w:t>0200</w:t>
            </w:r>
          </w:p>
        </w:tc>
        <w:tc>
          <w:tcPr>
            <w:tcW w:w="8789" w:type="dxa"/>
          </w:tcPr>
          <w:p w14:paraId="17279CD9" w14:textId="57707F46" w:rsidR="00FB3D09" w:rsidRPr="00B75318" w:rsidRDefault="00FB3D09" w:rsidP="00822842">
            <w:pPr>
              <w:rPr>
                <w:rStyle w:val="InstructionsTabelleberschrift"/>
                <w:rFonts w:ascii="Times New Roman" w:hAnsi="Times New Roman"/>
                <w:sz w:val="24"/>
              </w:rPr>
            </w:pPr>
            <w:r>
              <w:rPr>
                <w:rFonts w:ascii="Times New Roman" w:hAnsi="Times New Roman"/>
                <w:b/>
                <w:sz w:val="24"/>
                <w:u w:val="single"/>
              </w:rPr>
              <w:t>A megbízatáson alapuló módszer</w:t>
            </w:r>
          </w:p>
          <w:p w14:paraId="65B8F17E" w14:textId="77777777" w:rsidR="00FB3D09" w:rsidRPr="00B75318" w:rsidRDefault="00FB3D09" w:rsidP="00822842">
            <w:pPr>
              <w:spacing w:after="160" w:line="257" w:lineRule="auto"/>
              <w:rPr>
                <w:rFonts w:ascii="Times New Roman" w:eastAsia="Calibri" w:hAnsi="Times New Roman"/>
                <w:color w:val="000000" w:themeColor="text1"/>
                <w:sz w:val="24"/>
              </w:rPr>
            </w:pPr>
            <w:r>
              <w:rPr>
                <w:rFonts w:ascii="Times New Roman" w:hAnsi="Times New Roman"/>
                <w:color w:val="000000" w:themeColor="text1"/>
                <w:sz w:val="24"/>
              </w:rPr>
              <w:t>Az 575/2013/EU rendelet</w:t>
            </w:r>
            <w:r>
              <w:rPr>
                <w:rFonts w:ascii="Times New Roman" w:hAnsi="Times New Roman"/>
                <w:sz w:val="24"/>
              </w:rPr>
              <w:t xml:space="preserve"> 152. cikkének (5) bekezdése</w:t>
            </w:r>
          </w:p>
          <w:p w14:paraId="0315659D" w14:textId="271145EC" w:rsidR="00FB3D09" w:rsidRPr="00B75318" w:rsidRDefault="00FB3D09" w:rsidP="00822842">
            <w:pPr>
              <w:rPr>
                <w:rFonts w:ascii="Times New Roman" w:hAnsi="Times New Roman"/>
                <w:sz w:val="24"/>
              </w:rPr>
            </w:pPr>
            <w:r>
              <w:rPr>
                <w:rFonts w:ascii="Times New Roman" w:hAnsi="Times New Roman"/>
                <w:sz w:val="24"/>
              </w:rPr>
              <w:t>Ezt a sort csak a „Kollektív befektetési formák (KBF)” kitettségi osztály tekintetében és az összesítő munkalapon kell megadni.</w:t>
            </w:r>
          </w:p>
        </w:tc>
      </w:tr>
      <w:tr w:rsidR="00FB3D09" w:rsidRPr="002A677E" w14:paraId="1E5A599B" w14:textId="77777777" w:rsidTr="00822842">
        <w:trPr>
          <w:trHeight w:val="300"/>
        </w:trPr>
        <w:tc>
          <w:tcPr>
            <w:tcW w:w="1242" w:type="dxa"/>
          </w:tcPr>
          <w:p w14:paraId="6ABB8CD4" w14:textId="77777777" w:rsidR="00FB3D09" w:rsidRPr="00B75318" w:rsidRDefault="00FB3D09" w:rsidP="00822842">
            <w:pPr>
              <w:rPr>
                <w:rFonts w:ascii="Times New Roman" w:hAnsi="Times New Roman"/>
                <w:sz w:val="24"/>
              </w:rPr>
            </w:pPr>
            <w:r>
              <w:rPr>
                <w:rFonts w:ascii="Times New Roman" w:hAnsi="Times New Roman"/>
                <w:sz w:val="24"/>
              </w:rPr>
              <w:t>0210</w:t>
            </w:r>
          </w:p>
        </w:tc>
        <w:tc>
          <w:tcPr>
            <w:tcW w:w="8789" w:type="dxa"/>
          </w:tcPr>
          <w:p w14:paraId="3816A424" w14:textId="13F62D85" w:rsidR="00FB3D09" w:rsidRPr="00B75318" w:rsidRDefault="00FB3D09" w:rsidP="00822842">
            <w:pPr>
              <w:rPr>
                <w:rStyle w:val="InstructionsTabelleberschrift"/>
                <w:rFonts w:ascii="Times New Roman" w:hAnsi="Times New Roman"/>
                <w:sz w:val="24"/>
              </w:rPr>
            </w:pPr>
            <w:r>
              <w:rPr>
                <w:rFonts w:ascii="Times New Roman" w:hAnsi="Times New Roman"/>
                <w:b/>
                <w:sz w:val="24"/>
                <w:u w:val="single"/>
              </w:rPr>
              <w:t>Tartalékmódszer (Fall-back approach)</w:t>
            </w:r>
          </w:p>
          <w:p w14:paraId="57A3CDF9" w14:textId="77777777" w:rsidR="00FB3D09" w:rsidRPr="00B75318" w:rsidRDefault="00FB3D09" w:rsidP="00822842">
            <w:pPr>
              <w:spacing w:after="160" w:line="257" w:lineRule="auto"/>
              <w:rPr>
                <w:rFonts w:ascii="Times New Roman" w:eastAsia="Calibri" w:hAnsi="Times New Roman"/>
                <w:color w:val="000000" w:themeColor="text1"/>
                <w:sz w:val="24"/>
              </w:rPr>
            </w:pPr>
            <w:r>
              <w:rPr>
                <w:rFonts w:ascii="Times New Roman" w:hAnsi="Times New Roman"/>
                <w:color w:val="000000" w:themeColor="text1"/>
                <w:sz w:val="24"/>
              </w:rPr>
              <w:t>Az 575/2013/EU rendelet 152. cikkének (6) bekezdése</w:t>
            </w:r>
          </w:p>
          <w:p w14:paraId="42219B94" w14:textId="77777777" w:rsidR="00FB3D09" w:rsidRPr="00B75318" w:rsidRDefault="00FB3D09" w:rsidP="00822842">
            <w:pPr>
              <w:rPr>
                <w:rFonts w:ascii="Times New Roman" w:hAnsi="Times New Roman"/>
                <w:sz w:val="24"/>
              </w:rPr>
            </w:pPr>
            <w:r>
              <w:rPr>
                <w:rFonts w:ascii="Times New Roman" w:hAnsi="Times New Roman"/>
                <w:sz w:val="24"/>
              </w:rPr>
              <w:t>Ezt a sort csak a „Kollektív befektetési formák (KBF)” kitettségi osztály tekintetében és az összesítő munkalapon kell megadni.</w:t>
            </w:r>
          </w:p>
        </w:tc>
      </w:tr>
    </w:tbl>
    <w:p w14:paraId="0B2C44D0" w14:textId="77777777" w:rsidR="00FB3D09" w:rsidRPr="002A677E" w:rsidRDefault="00FB3D09" w:rsidP="00FB3D09">
      <w:pPr>
        <w:autoSpaceDE w:val="0"/>
        <w:autoSpaceDN w:val="0"/>
        <w:adjustRightInd w:val="0"/>
        <w:spacing w:before="0" w:after="0"/>
        <w:ind w:left="284"/>
        <w:jc w:val="left"/>
        <w:rPr>
          <w:rFonts w:ascii="Times New Roman" w:hAnsi="Times New Roman"/>
          <w:sz w:val="24"/>
        </w:rPr>
      </w:pPr>
      <w:bookmarkStart w:id="21" w:name="_Toc120327823"/>
      <w:bookmarkStart w:id="22" w:name="_Toc120072325"/>
      <w:bookmarkStart w:id="23" w:name="_Toc294280272"/>
      <w:bookmarkStart w:id="24" w:name="_Toc294281597"/>
      <w:bookmarkStart w:id="25" w:name="_Toc294281817"/>
      <w:bookmarkStart w:id="26" w:name="_Toc294282031"/>
      <w:bookmarkStart w:id="27" w:name="_Toc294282234"/>
      <w:bookmarkStart w:id="28" w:name="_Toc294714169"/>
      <w:bookmarkStart w:id="29" w:name="_Toc295314195"/>
      <w:bookmarkStart w:id="30" w:name="_Toc295829584"/>
      <w:bookmarkStart w:id="31" w:name="_Toc295829867"/>
      <w:bookmarkStart w:id="32" w:name="_Toc301772755"/>
      <w:bookmarkStart w:id="33" w:name="_Toc301772833"/>
      <w:bookmarkStart w:id="34" w:name="_Toc302657772"/>
      <w:bookmarkStart w:id="35" w:name="_Toc302657891"/>
      <w:bookmarkStart w:id="36" w:name="_Toc294280294"/>
      <w:bookmarkStart w:id="37" w:name="_Toc294281619"/>
      <w:bookmarkStart w:id="38" w:name="_Toc294281839"/>
      <w:bookmarkStart w:id="39" w:name="_Toc294282053"/>
      <w:bookmarkStart w:id="40" w:name="_Toc294282256"/>
      <w:bookmarkStart w:id="41" w:name="_Toc294714191"/>
      <w:bookmarkStart w:id="42" w:name="_Toc295314217"/>
      <w:bookmarkStart w:id="43" w:name="_Toc295829606"/>
      <w:bookmarkStart w:id="44" w:name="_Toc295829889"/>
      <w:bookmarkStart w:id="45" w:name="_Toc301772777"/>
      <w:bookmarkStart w:id="46" w:name="_Toc301772855"/>
      <w:bookmarkStart w:id="47" w:name="_Toc302657794"/>
      <w:bookmarkStart w:id="48" w:name="_Toc302657913"/>
      <w:bookmarkStart w:id="49" w:name="_Toc294280312"/>
      <w:bookmarkStart w:id="50" w:name="_Toc294281637"/>
      <w:bookmarkStart w:id="51" w:name="_Toc294281857"/>
      <w:bookmarkStart w:id="52" w:name="_Toc294282071"/>
      <w:bookmarkStart w:id="53" w:name="_Toc294282274"/>
      <w:bookmarkStart w:id="54" w:name="_Toc294714209"/>
      <w:bookmarkStart w:id="55" w:name="_Toc295314235"/>
      <w:bookmarkStart w:id="56" w:name="_Toc295829624"/>
      <w:bookmarkStart w:id="57" w:name="_Toc295829907"/>
      <w:bookmarkStart w:id="58" w:name="_Toc301772795"/>
      <w:bookmarkStart w:id="59" w:name="_Toc301772873"/>
      <w:bookmarkStart w:id="60" w:name="_Toc302657812"/>
      <w:bookmarkStart w:id="61" w:name="_Toc302657931"/>
      <w:bookmarkStart w:id="62" w:name="_Toc294280316"/>
      <w:bookmarkStart w:id="63" w:name="_Toc294281641"/>
      <w:bookmarkStart w:id="64" w:name="_Toc294281861"/>
      <w:bookmarkStart w:id="65" w:name="_Toc294282075"/>
      <w:bookmarkStart w:id="66" w:name="_Toc294282278"/>
      <w:bookmarkStart w:id="67" w:name="_Toc294714213"/>
      <w:bookmarkStart w:id="68" w:name="_Toc295314239"/>
      <w:bookmarkStart w:id="69" w:name="_Toc295829628"/>
      <w:bookmarkStart w:id="70" w:name="_Toc295829911"/>
      <w:bookmarkStart w:id="71" w:name="_Toc301772799"/>
      <w:bookmarkStart w:id="72" w:name="_Toc301772877"/>
      <w:bookmarkStart w:id="73" w:name="_Toc302657816"/>
      <w:bookmarkStart w:id="74" w:name="_Toc302657935"/>
      <w:bookmarkStart w:id="75" w:name="_Toc294280319"/>
      <w:bookmarkStart w:id="76" w:name="_Toc294281644"/>
      <w:bookmarkStart w:id="77" w:name="_Toc294281864"/>
      <w:bookmarkStart w:id="78" w:name="_Toc294282078"/>
      <w:bookmarkStart w:id="79" w:name="_Toc294282281"/>
      <w:bookmarkStart w:id="80" w:name="_Toc294714216"/>
      <w:bookmarkStart w:id="81" w:name="_Toc295314242"/>
      <w:bookmarkStart w:id="82" w:name="_Toc295829631"/>
      <w:bookmarkStart w:id="83" w:name="_Toc295829914"/>
      <w:bookmarkStart w:id="84" w:name="_Toc301772802"/>
      <w:bookmarkStart w:id="85" w:name="_Toc301772880"/>
      <w:bookmarkStart w:id="86" w:name="_Toc302657819"/>
      <w:bookmarkStart w:id="87" w:name="_Toc302657938"/>
      <w:bookmarkStart w:id="88" w:name="_Toc294280322"/>
      <w:bookmarkStart w:id="89" w:name="_Toc294281647"/>
      <w:bookmarkStart w:id="90" w:name="_Toc294281867"/>
      <w:bookmarkStart w:id="91" w:name="_Toc294282081"/>
      <w:bookmarkStart w:id="92" w:name="_Toc294282284"/>
      <w:bookmarkStart w:id="93" w:name="_Toc294714219"/>
      <w:bookmarkStart w:id="94" w:name="_Toc295314245"/>
      <w:bookmarkStart w:id="95" w:name="_Toc295829634"/>
      <w:bookmarkStart w:id="96" w:name="_Toc295829917"/>
      <w:bookmarkStart w:id="97" w:name="_Toc301772805"/>
      <w:bookmarkStart w:id="98" w:name="_Toc301772883"/>
      <w:bookmarkStart w:id="99" w:name="_Toc302657822"/>
      <w:bookmarkStart w:id="100" w:name="_Toc302657941"/>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3C588733" w14:textId="77777777" w:rsidR="00FB3D09" w:rsidRPr="002A677E" w:rsidRDefault="00FB3D09" w:rsidP="00FB3D09">
      <w:pPr>
        <w:pStyle w:val="Instructionsberschrift2"/>
        <w:numPr>
          <w:ilvl w:val="0"/>
          <w:numId w:val="0"/>
        </w:numPr>
        <w:ind w:left="357" w:hanging="357"/>
        <w:rPr>
          <w:rFonts w:ascii="Times New Roman" w:hAnsi="Times New Roman" w:cs="Times New Roman"/>
          <w:sz w:val="24"/>
        </w:rPr>
      </w:pPr>
      <w:bookmarkStart w:id="101" w:name="_Toc473560911"/>
      <w:bookmarkStart w:id="102" w:name="_Toc151714398"/>
      <w:r>
        <w:rPr>
          <w:rFonts w:ascii="Times New Roman" w:hAnsi="Times New Roman"/>
          <w:sz w:val="24"/>
          <w:u w:val="none"/>
        </w:rPr>
        <w:t>3.3.4.</w:t>
      </w:r>
      <w:r>
        <w:rPr>
          <w:rFonts w:ascii="Times New Roman" w:hAnsi="Times New Roman"/>
          <w:sz w:val="24"/>
          <w:u w:val="none"/>
        </w:rPr>
        <w:tab/>
      </w:r>
      <w:r>
        <w:rPr>
          <w:rFonts w:ascii="Times New Roman" w:hAnsi="Times New Roman"/>
          <w:sz w:val="24"/>
        </w:rPr>
        <w:t>C 08.02 – Hitelkockázat, partnerkockázat és nyitva szállítások: IRB módszer szerinti tőkekövetelmény: kötelezetti kategória vagy halmaz (pool) szerint (CR IRB 2 tábla)</w:t>
      </w:r>
      <w:bookmarkEnd w:id="101"/>
      <w:bookmarkEnd w:id="10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2A677E" w14:paraId="56EC6AC2" w14:textId="77777777" w:rsidTr="00822842">
        <w:tc>
          <w:tcPr>
            <w:tcW w:w="2024" w:type="dxa"/>
            <w:shd w:val="clear" w:color="auto" w:fill="BFBFBF"/>
          </w:tcPr>
          <w:p w14:paraId="2B478CBD" w14:textId="77777777" w:rsidR="00FB3D09" w:rsidRPr="002A677E" w:rsidRDefault="00FB3D09" w:rsidP="00822842">
            <w:pPr>
              <w:rPr>
                <w:rFonts w:ascii="Times New Roman" w:hAnsi="Times New Roman"/>
                <w:sz w:val="24"/>
              </w:rPr>
            </w:pPr>
            <w:r>
              <w:rPr>
                <w:rFonts w:ascii="Times New Roman" w:hAnsi="Times New Roman"/>
                <w:sz w:val="24"/>
              </w:rPr>
              <w:t>Oszlop</w:t>
            </w:r>
          </w:p>
        </w:tc>
        <w:tc>
          <w:tcPr>
            <w:tcW w:w="7804" w:type="dxa"/>
            <w:shd w:val="clear" w:color="auto" w:fill="BFBFBF"/>
          </w:tcPr>
          <w:p w14:paraId="72EF06FF" w14:textId="77777777" w:rsidR="00FB3D09" w:rsidRPr="002A677E" w:rsidRDefault="00FB3D09" w:rsidP="00822842">
            <w:pPr>
              <w:rPr>
                <w:rFonts w:ascii="Times New Roman" w:hAnsi="Times New Roman"/>
                <w:sz w:val="24"/>
              </w:rPr>
            </w:pPr>
            <w:r>
              <w:rPr>
                <w:rFonts w:ascii="Times New Roman" w:hAnsi="Times New Roman"/>
                <w:sz w:val="24"/>
              </w:rPr>
              <w:t>Útmutató</w:t>
            </w:r>
          </w:p>
        </w:tc>
      </w:tr>
      <w:tr w:rsidR="00FB3D09" w:rsidRPr="002A677E" w14:paraId="76358864" w14:textId="77777777" w:rsidTr="00822842">
        <w:tc>
          <w:tcPr>
            <w:tcW w:w="2024" w:type="dxa"/>
          </w:tcPr>
          <w:p w14:paraId="46C873B6" w14:textId="77777777" w:rsidR="00FB3D09" w:rsidRPr="002A677E" w:rsidRDefault="00FB3D09" w:rsidP="00822842">
            <w:pPr>
              <w:rPr>
                <w:rFonts w:ascii="Times New Roman" w:hAnsi="Times New Roman"/>
                <w:sz w:val="24"/>
              </w:rPr>
            </w:pPr>
            <w:r>
              <w:rPr>
                <w:rFonts w:ascii="Times New Roman" w:hAnsi="Times New Roman"/>
                <w:sz w:val="24"/>
              </w:rPr>
              <w:t>0005</w:t>
            </w:r>
          </w:p>
        </w:tc>
        <w:tc>
          <w:tcPr>
            <w:tcW w:w="7804" w:type="dxa"/>
          </w:tcPr>
          <w:p w14:paraId="130BE1CA"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Ügyfélkategória (sorazonosító)</w:t>
            </w:r>
          </w:p>
          <w:p w14:paraId="49E1BF99" w14:textId="77777777" w:rsidR="00FB3D09" w:rsidRPr="002A677E" w:rsidRDefault="00FB3D09" w:rsidP="00822842">
            <w:pPr>
              <w:rPr>
                <w:rFonts w:ascii="Times New Roman" w:hAnsi="Times New Roman"/>
                <w:sz w:val="24"/>
              </w:rPr>
            </w:pPr>
            <w:r>
              <w:rPr>
                <w:rFonts w:ascii="Times New Roman" w:hAnsi="Times New Roman"/>
                <w:sz w:val="24"/>
              </w:rPr>
              <w:t>Ez egy sorazonosító, amely a tábla egyes lapjainak minden sorát egyedileg azonosítja. Sorrendje: 1, 2, 3 stb.</w:t>
            </w:r>
          </w:p>
          <w:p w14:paraId="748039C7" w14:textId="77777777" w:rsidR="00FB3D09" w:rsidRPr="002A677E" w:rsidRDefault="00FB3D09" w:rsidP="00822842">
            <w:pPr>
              <w:rPr>
                <w:rFonts w:ascii="Times New Roman" w:hAnsi="Times New Roman"/>
                <w:sz w:val="24"/>
              </w:rPr>
            </w:pPr>
            <w:r>
              <w:rPr>
                <w:rFonts w:ascii="Times New Roman" w:hAnsi="Times New Roman"/>
                <w:sz w:val="24"/>
              </w:rPr>
              <w:t xml:space="preserve">A feltüntetendő első kategória (vagy halmaz) a legjobb, a következő a második legjobb és így tovább. Az utolsó kategória (vagy halmaz) a nemteljesítő kitettségeket tartalmazza. </w:t>
            </w:r>
          </w:p>
        </w:tc>
      </w:tr>
      <w:tr w:rsidR="00FB3D09" w:rsidRPr="002A677E" w14:paraId="2E9E255A" w14:textId="77777777" w:rsidTr="00822842">
        <w:tc>
          <w:tcPr>
            <w:tcW w:w="2024" w:type="dxa"/>
          </w:tcPr>
          <w:p w14:paraId="7EBE6354" w14:textId="77777777" w:rsidR="00FB3D09" w:rsidRPr="002A677E" w:rsidRDefault="00FB3D09" w:rsidP="00822842">
            <w:pPr>
              <w:rPr>
                <w:rFonts w:ascii="Times New Roman" w:hAnsi="Times New Roman"/>
                <w:sz w:val="24"/>
              </w:rPr>
            </w:pPr>
            <w:r>
              <w:rPr>
                <w:rFonts w:ascii="Times New Roman" w:hAnsi="Times New Roman"/>
                <w:sz w:val="24"/>
              </w:rPr>
              <w:t>0010–0300</w:t>
            </w:r>
          </w:p>
        </w:tc>
        <w:tc>
          <w:tcPr>
            <w:tcW w:w="7804" w:type="dxa"/>
          </w:tcPr>
          <w:p w14:paraId="68F58938" w14:textId="77777777" w:rsidR="00FB3D09" w:rsidRPr="002A677E" w:rsidRDefault="00FB3D09" w:rsidP="00822842">
            <w:pPr>
              <w:rPr>
                <w:rFonts w:ascii="Times New Roman" w:hAnsi="Times New Roman"/>
                <w:sz w:val="24"/>
              </w:rPr>
            </w:pPr>
            <w:r>
              <w:rPr>
                <w:rFonts w:ascii="Times New Roman" w:hAnsi="Times New Roman"/>
                <w:sz w:val="24"/>
              </w:rPr>
              <w:t>Az itt található oszlopokra vonatkozó útmutató azonos a CR IRB 1 tábla megfelelő számú oszlopaira vonatkozó útmutatóval.</w:t>
            </w:r>
          </w:p>
        </w:tc>
      </w:tr>
    </w:tbl>
    <w:p w14:paraId="040BB8C7" w14:textId="77777777" w:rsidR="00FB3D09" w:rsidRPr="002A677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2A677E" w14:paraId="767C7154" w14:textId="77777777" w:rsidTr="00822842">
        <w:tc>
          <w:tcPr>
            <w:tcW w:w="2024" w:type="dxa"/>
            <w:shd w:val="pct25" w:color="auto" w:fill="auto"/>
          </w:tcPr>
          <w:p w14:paraId="50BC5DEB" w14:textId="77777777" w:rsidR="00FB3D09" w:rsidRPr="002A677E" w:rsidRDefault="00FB3D09" w:rsidP="00822842">
            <w:pPr>
              <w:rPr>
                <w:rFonts w:ascii="Times New Roman" w:hAnsi="Times New Roman"/>
                <w:sz w:val="24"/>
              </w:rPr>
            </w:pPr>
            <w:r>
              <w:rPr>
                <w:rFonts w:ascii="Times New Roman" w:hAnsi="Times New Roman"/>
                <w:sz w:val="24"/>
              </w:rPr>
              <w:t>Sor</w:t>
            </w:r>
          </w:p>
        </w:tc>
        <w:tc>
          <w:tcPr>
            <w:tcW w:w="7804" w:type="dxa"/>
            <w:shd w:val="pct25" w:color="auto" w:fill="auto"/>
          </w:tcPr>
          <w:p w14:paraId="656BDFFA" w14:textId="77777777" w:rsidR="00FB3D09" w:rsidRPr="002A677E" w:rsidRDefault="00FB3D09" w:rsidP="00822842">
            <w:pPr>
              <w:rPr>
                <w:rFonts w:ascii="Times New Roman" w:hAnsi="Times New Roman"/>
                <w:sz w:val="24"/>
              </w:rPr>
            </w:pPr>
            <w:r>
              <w:rPr>
                <w:rFonts w:ascii="Times New Roman" w:hAnsi="Times New Roman"/>
                <w:sz w:val="24"/>
              </w:rPr>
              <w:t>Útmutató</w:t>
            </w:r>
          </w:p>
        </w:tc>
      </w:tr>
      <w:tr w:rsidR="00FB3D09" w:rsidRPr="002A677E" w14:paraId="4253B5F0" w14:textId="77777777" w:rsidTr="00822842">
        <w:tc>
          <w:tcPr>
            <w:tcW w:w="2024" w:type="dxa"/>
          </w:tcPr>
          <w:p w14:paraId="1F1498DB" w14:textId="77777777" w:rsidR="00FB3D09" w:rsidRPr="002A677E" w:rsidRDefault="00FB3D09" w:rsidP="00822842">
            <w:pPr>
              <w:rPr>
                <w:rFonts w:ascii="Times New Roman" w:hAnsi="Times New Roman"/>
                <w:sz w:val="24"/>
              </w:rPr>
            </w:pPr>
            <w:r>
              <w:rPr>
                <w:rFonts w:ascii="Times New Roman" w:hAnsi="Times New Roman"/>
                <w:sz w:val="24"/>
              </w:rPr>
              <w:t>0010–0001 – 0010–NNNN</w:t>
            </w:r>
          </w:p>
        </w:tc>
        <w:tc>
          <w:tcPr>
            <w:tcW w:w="7804" w:type="dxa"/>
          </w:tcPr>
          <w:p w14:paraId="7438CE6A" w14:textId="77777777" w:rsidR="00FB3D09" w:rsidRPr="002A677E" w:rsidRDefault="00FB3D09" w:rsidP="00822842">
            <w:pPr>
              <w:rPr>
                <w:rFonts w:ascii="Times New Roman" w:hAnsi="Times New Roman"/>
                <w:sz w:val="24"/>
              </w:rPr>
            </w:pPr>
            <w:r>
              <w:rPr>
                <w:rFonts w:ascii="Times New Roman" w:hAnsi="Times New Roman"/>
                <w:sz w:val="24"/>
              </w:rPr>
              <w:t>Az e sorokban feltüntetett értékeket az adott kötelezetti kategóriához vagy halmazhoz tartozó PD-értéknek megfelelő sorrendben kell megadni. A nemteljesítő kötelezettekhez tartozó PD-érték 100 %. Az ingatlanbiztosíték alternatív kezelési körébe vont kitettségek (ez kizárólag akkor lehetséges, ha az intézmény nem alkalmaz saját LGD-becslést) nem sorolhatók be a kötelezett PD-értéke alapján, így ezek adatai nem tüntethetők fel ebben a táblában.</w:t>
            </w:r>
          </w:p>
        </w:tc>
      </w:tr>
    </w:tbl>
    <w:p w14:paraId="207794BA" w14:textId="77777777" w:rsidR="00FB3D09" w:rsidRPr="002A677E" w:rsidRDefault="00FB3D09" w:rsidP="00FB3D09">
      <w:pPr>
        <w:pStyle w:val="InstructionsText"/>
      </w:pPr>
    </w:p>
    <w:p w14:paraId="26916390"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03" w:name="_Toc19715755"/>
      <w:bookmarkStart w:id="104" w:name="_Toc151714399"/>
      <w:r>
        <w:rPr>
          <w:rFonts w:ascii="Times New Roman" w:hAnsi="Times New Roman"/>
          <w:sz w:val="24"/>
        </w:rPr>
        <w:lastRenderedPageBreak/>
        <w:t>C 08.03 – Hitelkockázat és nyitva szállítások: IRB módszer szerinti tőkekövetelmény: PD-sávok szerinti bontás (CR IRB 3)</w:t>
      </w:r>
      <w:bookmarkEnd w:id="103"/>
      <w:bookmarkEnd w:id="104"/>
    </w:p>
    <w:p w14:paraId="32A5436F" w14:textId="77777777" w:rsidR="00FB3D09" w:rsidRPr="002A677E" w:rsidRDefault="00FB3D09" w:rsidP="008C13A4">
      <w:pPr>
        <w:pStyle w:val="Instructionsberschrift2"/>
        <w:numPr>
          <w:ilvl w:val="3"/>
          <w:numId w:val="21"/>
        </w:numPr>
        <w:rPr>
          <w:rFonts w:ascii="Times New Roman" w:hAnsi="Times New Roman" w:cs="Times New Roman"/>
          <w:sz w:val="24"/>
        </w:rPr>
      </w:pPr>
      <w:bookmarkStart w:id="105" w:name="_Toc19715756"/>
      <w:bookmarkStart w:id="106" w:name="_Toc151714400"/>
      <w:r>
        <w:rPr>
          <w:rFonts w:ascii="Times New Roman" w:hAnsi="Times New Roman"/>
          <w:sz w:val="24"/>
        </w:rPr>
        <w:t>Általános megjegyzések</w:t>
      </w:r>
      <w:bookmarkEnd w:id="105"/>
      <w:bookmarkEnd w:id="106"/>
    </w:p>
    <w:p w14:paraId="0918D50A"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77</w:t>
      </w:r>
      <w:r>
        <w:fldChar w:fldCharType="end"/>
      </w:r>
      <w:r>
        <w:t>. Az intézményeknek az ebben a táblában szereplő információkat az 575/2013/EU rendelet 452. cikke g) pontjának i–v. alpontja alkalmazásában kell megadniuk annak érdekében, hogy információt szolgáltassanak az IRB módszerhez kapcsolódó tőkekövetelmények kiszámításához használt fő paraméterekről. Az ebben a táblában feltüntetett információk nem tartalmazhatnak az 575/2013/EU rendelet 153. cikkének (5) bekezdésében említett speciális hitelezésre vonatkozó adatokat, amelyek a C 08.06. táblában szerepelnek. Ez a tábla nem tartalmazza a partnerkockázati kitettségeket (az 575/2013/EU rendelet harmadik része II. címének 6. fejezete).</w:t>
      </w:r>
    </w:p>
    <w:p w14:paraId="18B1A0B3"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07" w:name="_Toc19715757"/>
      <w:bookmarkStart w:id="108" w:name="_Toc151714401"/>
      <w:r>
        <w:rPr>
          <w:rFonts w:ascii="Times New Roman" w:hAnsi="Times New Roman"/>
          <w:sz w:val="24"/>
        </w:rPr>
        <w:t>A tábla egyes részeire vonatkozó útmutató</w:t>
      </w:r>
      <w:bookmarkEnd w:id="107"/>
      <w:bookmarkEnd w:id="10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1A83A24A" w14:textId="77777777" w:rsidTr="00822842">
        <w:tc>
          <w:tcPr>
            <w:tcW w:w="1188" w:type="dxa"/>
            <w:shd w:val="clear" w:color="auto" w:fill="CCCCCC"/>
          </w:tcPr>
          <w:p w14:paraId="716EB21D" w14:textId="77777777" w:rsidR="00FB3D09" w:rsidRPr="002A677E" w:rsidRDefault="00FB3D09" w:rsidP="00822842">
            <w:pPr>
              <w:rPr>
                <w:rFonts w:ascii="Times New Roman" w:hAnsi="Times New Roman"/>
                <w:sz w:val="24"/>
              </w:rPr>
            </w:pPr>
            <w:r>
              <w:rPr>
                <w:rFonts w:ascii="Times New Roman" w:hAnsi="Times New Roman"/>
                <w:sz w:val="24"/>
              </w:rPr>
              <w:t>Oszlopok</w:t>
            </w:r>
          </w:p>
        </w:tc>
        <w:tc>
          <w:tcPr>
            <w:tcW w:w="8843" w:type="dxa"/>
            <w:shd w:val="clear" w:color="auto" w:fill="CCCCCC"/>
          </w:tcPr>
          <w:p w14:paraId="3EB4007D" w14:textId="77777777" w:rsidR="00FB3D09" w:rsidRPr="002A677E" w:rsidRDefault="00FB3D09" w:rsidP="00822842">
            <w:pPr>
              <w:rPr>
                <w:rFonts w:ascii="Times New Roman" w:hAnsi="Times New Roman"/>
                <w:sz w:val="24"/>
              </w:rPr>
            </w:pPr>
            <w:r>
              <w:rPr>
                <w:rFonts w:ascii="Times New Roman" w:hAnsi="Times New Roman"/>
                <w:sz w:val="24"/>
              </w:rPr>
              <w:t>Útmutató</w:t>
            </w:r>
          </w:p>
        </w:tc>
      </w:tr>
      <w:tr w:rsidR="00FB3D09" w:rsidRPr="002A677E" w14:paraId="71C99AF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F5B36B" w14:textId="77777777" w:rsidR="00FB3D09" w:rsidRPr="002A677E" w:rsidRDefault="00FB3D09" w:rsidP="00822842">
            <w:pPr>
              <w:rPr>
                <w:rFonts w:ascii="Times New Roman" w:hAnsi="Times New Roman"/>
                <w:sz w:val="24"/>
              </w:rPr>
            </w:pPr>
            <w:r>
              <w:rPr>
                <w:rFonts w:ascii="Times New Roman" w:hAnsi="Times New Roman"/>
                <w:sz w:val="24"/>
              </w:rPr>
              <w:t>0010</w:t>
            </w:r>
          </w:p>
          <w:p w14:paraId="5AF0F519" w14:textId="77777777" w:rsidR="00FB3D09" w:rsidRPr="002A677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F7A92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MÉRLEGEN BELÜLI KITETTSÉGEK</w:t>
            </w:r>
          </w:p>
          <w:p w14:paraId="00204A28" w14:textId="77777777" w:rsidR="00FB3D09" w:rsidRPr="002A677E" w:rsidRDefault="00FB3D09" w:rsidP="00822842">
            <w:pPr>
              <w:rPr>
                <w:rFonts w:ascii="Times New Roman" w:hAnsi="Times New Roman"/>
                <w:sz w:val="24"/>
              </w:rPr>
            </w:pPr>
            <w:r>
              <w:rPr>
                <w:rFonts w:ascii="Times New Roman" w:hAnsi="Times New Roman"/>
                <w:sz w:val="24"/>
              </w:rPr>
              <w:t>Az 575/2013/EU rendelet 166. cikkének (1)–(7) bekezdése szerint számított kitettségérték az esetleges hitelkockázati kiigazítások figyelembevétele nélkül.</w:t>
            </w:r>
          </w:p>
        </w:tc>
      </w:tr>
      <w:tr w:rsidR="00FB3D09" w:rsidRPr="002A677E" w14:paraId="22B6384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E4B365F"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71C2B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MÉRLEGEN KÍVÜLI KITETTSÉGEK HITEL-EGYENÉRTÉKESÍTÉSI TÉNYEZŐK ELŐTT</w:t>
            </w:r>
          </w:p>
          <w:p w14:paraId="55489989" w14:textId="483DFDC9" w:rsidR="00FB3D09" w:rsidRPr="002A677E" w:rsidRDefault="00FB3D09" w:rsidP="00822842">
            <w:pPr>
              <w:rPr>
                <w:rFonts w:ascii="Times New Roman" w:hAnsi="Times New Roman"/>
                <w:sz w:val="24"/>
              </w:rPr>
            </w:pPr>
            <w:r>
              <w:rPr>
                <w:rFonts w:ascii="Times New Roman" w:hAnsi="Times New Roman"/>
                <w:sz w:val="24"/>
              </w:rPr>
              <w:t>Az 575/2013/EU rendelet 166. cikkének (1)–(7) bekezdése szerinti kitettségérték, az esetleges hitelkockázati kiigazítások és hitel-egyenértékesítési tényezők, az 575/2013/EU rendelet 166. cikkének (8) bekezdésében meghatározott saját becslések és hitel-egyenértékesítési tényezők figyelembevétele nélkül.</w:t>
            </w:r>
          </w:p>
          <w:p w14:paraId="5D37048B" w14:textId="77777777" w:rsidR="00FB3D09" w:rsidRPr="002A677E" w:rsidRDefault="00FB3D09" w:rsidP="00822842">
            <w:pPr>
              <w:rPr>
                <w:rFonts w:ascii="Times New Roman" w:hAnsi="Times New Roman"/>
                <w:sz w:val="24"/>
              </w:rPr>
            </w:pPr>
            <w:r>
              <w:rPr>
                <w:rFonts w:ascii="Times New Roman" w:hAnsi="Times New Roman"/>
                <w:sz w:val="24"/>
              </w:rPr>
              <w:t>A mérlegen kívüli kitettségek magukban foglalják az összes lekötött, de le nem hívott összeget és az összes mérlegen kívüli tételt, az 575/2013/EU rendelet I. mellékletében felsoroltak szerint.</w:t>
            </w:r>
          </w:p>
        </w:tc>
      </w:tr>
      <w:tr w:rsidR="00FB3D09" w:rsidRPr="002A677E" w14:paraId="5AAD70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39A4906"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F0325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KITETTSÉGGEL SÚLYOZOTT ÁTLAGOS HITEL-EGYENÉRTÉKESÍTÉSI TÉNYEZŐK</w:t>
            </w:r>
          </w:p>
          <w:p w14:paraId="69C8E2B0" w14:textId="77777777" w:rsidR="00FB3D09" w:rsidRPr="002A677E" w:rsidRDefault="00FB3D09" w:rsidP="00822842">
            <w:pPr>
              <w:rPr>
                <w:rFonts w:ascii="Times New Roman" w:hAnsi="Times New Roman"/>
                <w:sz w:val="24"/>
              </w:rPr>
            </w:pPr>
            <w:r>
              <w:rPr>
                <w:rFonts w:ascii="Times New Roman" w:hAnsi="Times New Roman"/>
                <w:sz w:val="24"/>
              </w:rPr>
              <w:t xml:space="preserve">A rögzített PD-sáv egyes kategóriáiba tartozó valamennyi kitettség esetében az intézmények által a kockázattal súlyozott kitettségérték kiszámításához használt átlagos hitel-egyenértékesítési tényező, súlyozva a 0020-as oszlopban feltüntetett, mérlegen kívüli, hitel-egyenértékesítési tényezők előtti kitettséggel. </w:t>
            </w:r>
          </w:p>
        </w:tc>
      </w:tr>
      <w:tr w:rsidR="00FB3D09" w:rsidRPr="002A677E" w14:paraId="30332FF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AAF7A35"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F02FE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HITEL-EGYENÉRTÉKESÍTÉSI TÉNYEZŐK ÉS HITELKOCKÁZAT-MÉRSÉKLÉS UTÁNI KITETTSÉGÉRTÉK</w:t>
            </w:r>
          </w:p>
          <w:p w14:paraId="416A72EE" w14:textId="77777777" w:rsidR="00FB3D09" w:rsidRPr="002A677E" w:rsidRDefault="00FB3D09" w:rsidP="00822842">
            <w:pPr>
              <w:rPr>
                <w:rFonts w:ascii="Times New Roman" w:hAnsi="Times New Roman"/>
                <w:sz w:val="24"/>
              </w:rPr>
            </w:pPr>
            <w:r>
              <w:rPr>
                <w:rFonts w:ascii="Times New Roman" w:hAnsi="Times New Roman"/>
                <w:sz w:val="24"/>
              </w:rPr>
              <w:t>Az 575/2013/EU rendelet 166. cikke szerinti kitettségérték.</w:t>
            </w:r>
          </w:p>
          <w:p w14:paraId="2BC7EF47" w14:textId="0D3DE562" w:rsidR="00FB3D09" w:rsidRPr="002A677E" w:rsidRDefault="00FB3D09" w:rsidP="00822842">
            <w:pPr>
              <w:rPr>
                <w:rFonts w:ascii="Times New Roman" w:hAnsi="Times New Roman"/>
                <w:sz w:val="24"/>
              </w:rPr>
            </w:pPr>
            <w:r>
              <w:rPr>
                <w:rFonts w:ascii="Times New Roman" w:hAnsi="Times New Roman"/>
                <w:sz w:val="24"/>
              </w:rPr>
              <w:t>Ez az oszlop a mérlegen belüli kitettségeknek és a mérlegen kívüli kitettségeknek az 575/2013/EU rendelet 166. cikkének (8) és (9) bekezdése szerinti hitel-egyenértékesítési tényezők utáni és hitelkockázat-mérséklés utáni összegét tartalmazza.</w:t>
            </w:r>
          </w:p>
        </w:tc>
      </w:tr>
      <w:tr w:rsidR="00FB3D09" w:rsidRPr="002A677E" w14:paraId="4E069FC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6C3E0E9"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981DB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KITETTSÉGGEL SÚLYOZOTT ÁTLAGOS PD (%)</w:t>
            </w:r>
          </w:p>
          <w:p w14:paraId="4DB9C65C" w14:textId="77777777" w:rsidR="00FB3D09" w:rsidRDefault="00FB3D09" w:rsidP="00822842">
            <w:pPr>
              <w:rPr>
                <w:rFonts w:ascii="Times New Roman" w:hAnsi="Times New Roman"/>
                <w:sz w:val="24"/>
              </w:rPr>
            </w:pPr>
            <w:r>
              <w:rPr>
                <w:rFonts w:ascii="Times New Roman" w:hAnsi="Times New Roman"/>
                <w:sz w:val="24"/>
              </w:rPr>
              <w:lastRenderedPageBreak/>
              <w:t>A rögzített PD-sáv egyes kategóriáiba tartozó valamennyi kitettség esetében az egyes kötelezettek átlagos PD-becslése, súlyozva a hitel-egyenértékesítési tényezők és hitelkockázat-mérséklés utáni, a 0040-es oszlopban megadott kitettségértékkel.</w:t>
            </w:r>
          </w:p>
          <w:p w14:paraId="6AFB8412" w14:textId="77777777" w:rsidR="00FB3D09" w:rsidRPr="002A677E" w:rsidRDefault="00FB3D09" w:rsidP="00822842">
            <w:pPr>
              <w:rPr>
                <w:rFonts w:ascii="Times New Roman" w:hAnsi="Times New Roman"/>
                <w:sz w:val="24"/>
              </w:rPr>
            </w:pPr>
            <w:r>
              <w:rPr>
                <w:rFonts w:ascii="Times New Roman" w:hAnsi="Times New Roman"/>
                <w:sz w:val="24"/>
              </w:rPr>
              <w:t xml:space="preserve">Ezt az oszlopot nem kell kitölteni az összes kitettségi osztály egészére vonatkozóan. </w:t>
            </w:r>
          </w:p>
        </w:tc>
      </w:tr>
      <w:tr w:rsidR="00FB3D09" w:rsidRPr="002A677E" w14:paraId="2BC40F2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F2C44DF" w14:textId="77777777" w:rsidR="00FB3D09" w:rsidRPr="002A677E" w:rsidRDefault="00FB3D09" w:rsidP="00822842">
            <w:pPr>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5B05F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KÖTELEZETTEK SZÁMA</w:t>
            </w:r>
          </w:p>
          <w:p w14:paraId="0F009E63" w14:textId="77777777" w:rsidR="00FB3D09" w:rsidRPr="002A677E" w:rsidRDefault="00FB3D09" w:rsidP="00822842">
            <w:pPr>
              <w:rPr>
                <w:rFonts w:ascii="Times New Roman" w:hAnsi="Times New Roman"/>
                <w:sz w:val="24"/>
              </w:rPr>
            </w:pPr>
            <w:r>
              <w:rPr>
                <w:rFonts w:ascii="Times New Roman" w:hAnsi="Times New Roman"/>
                <w:sz w:val="24"/>
              </w:rPr>
              <w:t xml:space="preserve">A rögzített PD-sáv egyes kategóriáihoz rendelt jogi személyek vagy kötelezettek száma. </w:t>
            </w:r>
          </w:p>
          <w:p w14:paraId="25C904A6" w14:textId="77777777" w:rsidR="00FB3D09" w:rsidRPr="002A677E" w:rsidRDefault="00FB3D09" w:rsidP="00822842">
            <w:pPr>
              <w:rPr>
                <w:rFonts w:ascii="Times New Roman" w:hAnsi="Times New Roman"/>
                <w:sz w:val="24"/>
              </w:rPr>
            </w:pPr>
            <w:r>
              <w:rPr>
                <w:rFonts w:ascii="Times New Roman" w:hAnsi="Times New Roman"/>
                <w:sz w:val="24"/>
              </w:rPr>
              <w:t>A kötelezettek számát a C 08.01. tábla 0300-as oszlopára vonatkozó útmutatónak megfelelően kell számba venni. A közös kötelezetteket ugyanúgy kell kezelni, mint a PD-kalibráció alkalmazásában.</w:t>
            </w:r>
          </w:p>
        </w:tc>
      </w:tr>
      <w:tr w:rsidR="00FB3D09" w:rsidRPr="002A677E" w14:paraId="1AFC6165"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B8508A8" w14:textId="77777777" w:rsidR="00FB3D09" w:rsidRPr="002A677E" w:rsidRDefault="00FB3D09" w:rsidP="00822842">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A9DA3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KITETTSÉGGEL SÚLYOZOTT ÁTLAGOS LGD (%)</w:t>
            </w:r>
          </w:p>
          <w:p w14:paraId="64245660" w14:textId="77777777" w:rsidR="00FB3D09" w:rsidRPr="002A677E" w:rsidRDefault="00FB3D09" w:rsidP="00822842">
            <w:pPr>
              <w:rPr>
                <w:rFonts w:ascii="Times New Roman" w:hAnsi="Times New Roman"/>
                <w:sz w:val="24"/>
              </w:rPr>
            </w:pPr>
            <w:r>
              <w:rPr>
                <w:rFonts w:ascii="Times New Roman" w:hAnsi="Times New Roman"/>
                <w:sz w:val="24"/>
              </w:rPr>
              <w:t>A rögzített PD-sáv egyes kategóriáiba tartozó valamennyi kitettség esetében az egyes kitettségek átlagos LGD-becslése, súlyozva a hitel-egyenértékesítési tényezők és hitelkockázat-mérséklés utáni, a 0040-es oszlopban megadott kitettségértékkel.</w:t>
            </w:r>
          </w:p>
          <w:p w14:paraId="61129324" w14:textId="77777777" w:rsidR="00FB3D09" w:rsidRPr="002A677E" w:rsidRDefault="00FB3D09" w:rsidP="00822842">
            <w:pPr>
              <w:rPr>
                <w:rFonts w:ascii="Times New Roman" w:hAnsi="Times New Roman"/>
                <w:sz w:val="24"/>
              </w:rPr>
            </w:pPr>
            <w:r>
              <w:rPr>
                <w:rFonts w:ascii="Times New Roman" w:hAnsi="Times New Roman"/>
                <w:sz w:val="24"/>
              </w:rPr>
              <w:t>A feltüntetett LGD-nek meg kell felelnie a kockázattal súlyozott összegek kiszámításához használt, az esetleges hitelkockázat-mérséklési hatások és adott esetben gazdasági dekonjunkturális feltételek figyelembevételével kapott végső LGD-becslésnek. Az ingatlannal fedezett, lakossággal szembeni kitettségek esetében a feltüntetett LGD-nek figyelembe kell vennie az 575/2013/EU rendelet 164. cikkének (4) bekezdésében meghatározott alsó határokat.</w:t>
            </w:r>
          </w:p>
          <w:p w14:paraId="4123D9EA" w14:textId="77777777" w:rsidR="00FB3D09" w:rsidRDefault="00FB3D09" w:rsidP="00822842">
            <w:pPr>
              <w:rPr>
                <w:rFonts w:ascii="Times New Roman" w:hAnsi="Times New Roman"/>
                <w:sz w:val="24"/>
              </w:rPr>
            </w:pPr>
            <w:r>
              <w:rPr>
                <w:rFonts w:ascii="Times New Roman" w:hAnsi="Times New Roman"/>
                <w:sz w:val="24"/>
              </w:rPr>
              <w:t>Az A-IRB módszer szerinti nemteljesítő kitettségek esetében figyelembe kell venni az 575/2013/EU rendelet 181. cikke (1) bekezdésének h) pontjában foglalt rendelkezéseket. A feltüntetett LGD-nek meg kell felelnie az alkalmazandó becslési módszerek szerinti nemteljesítéskori LGD-becslésnek.</w:t>
            </w:r>
          </w:p>
          <w:p w14:paraId="176BBB47" w14:textId="77777777" w:rsidR="00FB3D09" w:rsidRPr="002A677E" w:rsidRDefault="00FB3D09" w:rsidP="00822842">
            <w:pPr>
              <w:rPr>
                <w:rFonts w:ascii="Times New Roman" w:hAnsi="Times New Roman"/>
                <w:sz w:val="24"/>
              </w:rPr>
            </w:pPr>
            <w:r>
              <w:rPr>
                <w:rFonts w:ascii="Times New Roman" w:hAnsi="Times New Roman"/>
                <w:sz w:val="24"/>
              </w:rPr>
              <w:t>Ezt az oszlopot nem kell kitölteni az összes kitettségi osztály egészére vonatkozóan.</w:t>
            </w:r>
          </w:p>
        </w:tc>
      </w:tr>
      <w:tr w:rsidR="00FB3D09" w:rsidRPr="002A677E" w14:paraId="449A226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F3127EC" w14:textId="77777777" w:rsidR="00FB3D09" w:rsidRPr="002A677E" w:rsidRDefault="00FB3D09" w:rsidP="00822842">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BD5667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KITETTSÉGGEL SÚLYOZOTT ÁTLAGOS LEJÁRAT (ÉV)</w:t>
            </w:r>
          </w:p>
          <w:p w14:paraId="44C8EC59" w14:textId="77777777" w:rsidR="00FB3D09" w:rsidRPr="002A677E" w:rsidRDefault="00FB3D09" w:rsidP="00822842">
            <w:pPr>
              <w:rPr>
                <w:rFonts w:ascii="Times New Roman" w:hAnsi="Times New Roman"/>
                <w:sz w:val="24"/>
              </w:rPr>
            </w:pPr>
            <w:r>
              <w:rPr>
                <w:rFonts w:ascii="Times New Roman" w:hAnsi="Times New Roman"/>
                <w:sz w:val="24"/>
              </w:rPr>
              <w:t>A rögzített PD-sáv egyes kategóriáiba tartozó valamennyi kitettség esetében az egyes kitettségek átlagos lejárata, súlyozva a hitel-egyenértékesítési tényezők utáni, a 0040-es oszlopban megadott kitettségértékkel.</w:t>
            </w:r>
          </w:p>
          <w:p w14:paraId="6B1FFBC1" w14:textId="77777777" w:rsidR="00FB3D09" w:rsidRPr="002A677E" w:rsidRDefault="00FB3D09" w:rsidP="00822842">
            <w:pPr>
              <w:rPr>
                <w:rFonts w:ascii="Times New Roman" w:hAnsi="Times New Roman"/>
                <w:sz w:val="24"/>
              </w:rPr>
            </w:pPr>
            <w:r>
              <w:rPr>
                <w:rFonts w:ascii="Times New Roman" w:hAnsi="Times New Roman"/>
                <w:sz w:val="24"/>
              </w:rPr>
              <w:t xml:space="preserve">A feltüntetendő lejárati értéket az 575/2013/EU rendelet 162. cikkének megfelelően kell meghatározni. </w:t>
            </w:r>
          </w:p>
          <w:p w14:paraId="450A0AC2" w14:textId="77777777" w:rsidR="00FB3D09" w:rsidRPr="002A677E" w:rsidRDefault="00FB3D09" w:rsidP="00822842">
            <w:pPr>
              <w:rPr>
                <w:rFonts w:ascii="Times New Roman" w:hAnsi="Times New Roman"/>
                <w:sz w:val="24"/>
              </w:rPr>
            </w:pPr>
            <w:r>
              <w:rPr>
                <w:rFonts w:ascii="Times New Roman" w:hAnsi="Times New Roman"/>
                <w:sz w:val="24"/>
              </w:rPr>
              <w:t>Az átlagos lejáratot években kell megadni.</w:t>
            </w:r>
          </w:p>
          <w:p w14:paraId="2D4B80D4" w14:textId="77777777" w:rsidR="00FB3D09" w:rsidRPr="002A677E" w:rsidRDefault="00FB3D09" w:rsidP="00822842">
            <w:pPr>
              <w:rPr>
                <w:rFonts w:ascii="Times New Roman" w:hAnsi="Times New Roman"/>
                <w:sz w:val="24"/>
              </w:rPr>
            </w:pPr>
            <w:r>
              <w:rPr>
                <w:rFonts w:ascii="Times New Roman" w:hAnsi="Times New Roman"/>
                <w:sz w:val="24"/>
              </w:rPr>
              <w:t>Ez az adat nem adható meg olyan kitettségérték esetén, amelynél a lejáratot nem veszik figyelembe a kockázattal súlyozott kitettségértéknek az 575/2013/EU rendelet harmadik része II. címének 3. fejezete szerinti kiszámításakor. Ez azt jelenti, hogy az oszlop a „lakosság” kitettségi osztályra vonatkozóan nem töltendő ki.</w:t>
            </w:r>
          </w:p>
        </w:tc>
      </w:tr>
      <w:tr w:rsidR="00FB3D09" w:rsidRPr="002A677E" w14:paraId="6D53A25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825A326" w14:textId="77777777" w:rsidR="00FB3D09" w:rsidRPr="002A677E" w:rsidDel="00F079B2" w:rsidRDefault="00FB3D09" w:rsidP="00822842">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0E6B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A SZORZÓK UTÁNI, KOCKÁZATTAL SÚLYOZOTT KITETTSÉGÉRTÉK</w:t>
            </w:r>
          </w:p>
          <w:p w14:paraId="62CEA768" w14:textId="77777777" w:rsidR="00FB3D09" w:rsidRPr="002A677E" w:rsidRDefault="00FB3D09" w:rsidP="00822842">
            <w:pPr>
              <w:rPr>
                <w:rFonts w:ascii="Times New Roman" w:hAnsi="Times New Roman"/>
                <w:sz w:val="24"/>
              </w:rPr>
            </w:pPr>
            <w:r>
              <w:rPr>
                <w:rFonts w:ascii="Times New Roman" w:hAnsi="Times New Roman"/>
                <w:sz w:val="24"/>
              </w:rPr>
              <w:t>Központi kormányzatokkal és központi bankokkal, intézményekkel és vállalatokkal szembeni kitettségek esetében az 575/2013/EU rendelet 153. cikke (1)–(4) bekezdésének megfelelően kiszámított, kockázattal súlyozott kitettségérték; a lakossággal szembeni kitettségek esetében az említett rendelet 154. cikke szerint kiszámított, kockázattal súlyozott kitettségérték.</w:t>
            </w:r>
          </w:p>
          <w:p w14:paraId="2CF926D6" w14:textId="77777777" w:rsidR="00FB3D09" w:rsidRPr="002A677E" w:rsidRDefault="00FB3D09" w:rsidP="00822842">
            <w:pPr>
              <w:rPr>
                <w:rFonts w:ascii="Times New Roman" w:hAnsi="Times New Roman"/>
                <w:sz w:val="24"/>
              </w:rPr>
            </w:pPr>
            <w:r>
              <w:rPr>
                <w:rFonts w:ascii="Times New Roman" w:hAnsi="Times New Roman"/>
                <w:sz w:val="24"/>
              </w:rPr>
              <w:lastRenderedPageBreak/>
              <w:t xml:space="preserve">Az 575/2013/EU rendelet 501. és 501a. cikkében említett kkv-szorzót és infrastruktúra-szorzót figyelembe kell venni. </w:t>
            </w:r>
          </w:p>
        </w:tc>
      </w:tr>
      <w:tr w:rsidR="00FB3D09" w:rsidRPr="002A677E" w14:paraId="5C992AF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8842E4" w14:textId="77777777" w:rsidR="00FB3D09" w:rsidRPr="002A677E" w:rsidRDefault="00FB3D09" w:rsidP="00822842">
            <w:pPr>
              <w:rPr>
                <w:rFonts w:ascii="Times New Roman" w:hAnsi="Times New Roman"/>
                <w:sz w:val="24"/>
              </w:rPr>
            </w:pPr>
            <w:r>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27B09C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VÁRHATÓ VESZTESÉGÉRTÉK</w:t>
            </w:r>
          </w:p>
          <w:p w14:paraId="553224A7" w14:textId="77777777" w:rsidR="00FB3D09" w:rsidRPr="002A677E" w:rsidRDefault="00FB3D09" w:rsidP="00822842">
            <w:pPr>
              <w:rPr>
                <w:rFonts w:ascii="Times New Roman" w:hAnsi="Times New Roman"/>
                <w:sz w:val="24"/>
              </w:rPr>
            </w:pPr>
            <w:r>
              <w:rPr>
                <w:rFonts w:ascii="Times New Roman" w:hAnsi="Times New Roman"/>
                <w:sz w:val="24"/>
              </w:rPr>
              <w:t>Az 575/2013/EU rendelet 158. cikke szerint kiszámított várható veszteségérték.</w:t>
            </w:r>
          </w:p>
          <w:p w14:paraId="7FB4F7F3" w14:textId="77777777" w:rsidR="00FB3D09" w:rsidRPr="002A677E" w:rsidRDefault="00FB3D09" w:rsidP="00822842">
            <w:pPr>
              <w:rPr>
                <w:rFonts w:ascii="Times New Roman" w:hAnsi="Times New Roman"/>
                <w:sz w:val="24"/>
              </w:rPr>
            </w:pPr>
            <w:r>
              <w:rPr>
                <w:rFonts w:ascii="Times New Roman" w:hAnsi="Times New Roman"/>
                <w:sz w:val="24"/>
              </w:rPr>
              <w:t>A várható veszteség feltüntetendő értékét az adott illetékes hatóság által jóváhagyott belső minősítési skálában ténylegesen alkalmazott kockázati paraméterek alapján kell kiszámítani.</w:t>
            </w:r>
          </w:p>
        </w:tc>
      </w:tr>
      <w:tr w:rsidR="00FB3D09" w:rsidRPr="002A677E" w14:paraId="41A60C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B1187E9" w14:textId="77777777" w:rsidR="00FB3D09" w:rsidRPr="002A677E" w:rsidRDefault="00FB3D09" w:rsidP="00822842">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97FB7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ÉRTÉKELÉSI KORREKCIÓK ÉS CÉLTARTALÉKOK</w:t>
            </w:r>
          </w:p>
          <w:p w14:paraId="6396EDF4" w14:textId="77777777" w:rsidR="00FB3D09" w:rsidRPr="002A677E" w:rsidRDefault="00FB3D09" w:rsidP="00822842">
            <w:pPr>
              <w:rPr>
                <w:rFonts w:ascii="Times New Roman" w:hAnsi="Times New Roman"/>
                <w:sz w:val="24"/>
              </w:rPr>
            </w:pPr>
            <w:r>
              <w:rPr>
                <w:rFonts w:ascii="Times New Roman" w:hAnsi="Times New Roman"/>
                <w:sz w:val="24"/>
              </w:rPr>
              <w:t xml:space="preserve">A 183/2014/EU felhatalmazáson alapuló bizottsági rendelet szerinti egyedi és általános hitelkockázati kiigazítások, az 575/2013/EU rendelet 34. és 110. cikke szerinti kiegészítő értékelési korrekciók, valamint a rögzített PD-sáv egyes kategóriáihoz rendelt kitettségekhez kapcsolódó egyéb szavatolótőke-csökkentések. </w:t>
            </w:r>
          </w:p>
          <w:p w14:paraId="30338ECC" w14:textId="77777777" w:rsidR="00FB3D09" w:rsidRPr="002A677E" w:rsidRDefault="00FB3D09" w:rsidP="00822842">
            <w:pPr>
              <w:rPr>
                <w:rFonts w:ascii="Times New Roman" w:hAnsi="Times New Roman"/>
                <w:sz w:val="24"/>
              </w:rPr>
            </w:pPr>
            <w:r>
              <w:rPr>
                <w:rFonts w:ascii="Times New Roman" w:hAnsi="Times New Roman"/>
                <w:sz w:val="24"/>
              </w:rPr>
              <w:t>Ezek az értékelési korrekciók és céltartalékok azok, amelyeket figyelembe kell venni az 575/2013/EU rendelet 159. cikkének végrehajtásakor.</w:t>
            </w:r>
          </w:p>
          <w:p w14:paraId="44F9E3D4" w14:textId="77777777" w:rsidR="00FB3D09" w:rsidRPr="002A677E" w:rsidRDefault="00FB3D09" w:rsidP="00822842">
            <w:pPr>
              <w:rPr>
                <w:rFonts w:ascii="Times New Roman" w:hAnsi="Times New Roman"/>
                <w:sz w:val="24"/>
              </w:rPr>
            </w:pPr>
            <w:r>
              <w:rPr>
                <w:rFonts w:ascii="Times New Roman" w:hAnsi="Times New Roman"/>
                <w:sz w:val="24"/>
              </w:rPr>
              <w:t xml:space="preserve">Az általános céltartalékokat az egyes kötelezetti kategóriák várható vesztesége alapján arányosítva kell megadni. </w:t>
            </w:r>
          </w:p>
        </w:tc>
      </w:tr>
    </w:tbl>
    <w:p w14:paraId="1A4B339F" w14:textId="77777777" w:rsidR="00FB3D09" w:rsidRPr="002A677E" w:rsidRDefault="00FB3D09" w:rsidP="00FB3D09">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FB3D09" w:rsidRPr="002A677E" w14:paraId="27D32695" w14:textId="77777777" w:rsidTr="00822842">
        <w:tc>
          <w:tcPr>
            <w:tcW w:w="1271" w:type="dxa"/>
            <w:shd w:val="clear" w:color="auto" w:fill="auto"/>
          </w:tcPr>
          <w:p w14:paraId="52082BD5" w14:textId="77777777" w:rsidR="00FB3D09" w:rsidRPr="002A677E" w:rsidRDefault="00FB3D09" w:rsidP="00822842">
            <w:pPr>
              <w:rPr>
                <w:rFonts w:ascii="Times New Roman" w:hAnsi="Times New Roman"/>
                <w:sz w:val="24"/>
              </w:rPr>
            </w:pPr>
            <w:r>
              <w:rPr>
                <w:rFonts w:ascii="Times New Roman" w:hAnsi="Times New Roman"/>
                <w:sz w:val="24"/>
              </w:rPr>
              <w:t>Sorok</w:t>
            </w:r>
          </w:p>
        </w:tc>
        <w:tc>
          <w:tcPr>
            <w:tcW w:w="8557" w:type="dxa"/>
            <w:shd w:val="clear" w:color="auto" w:fill="auto"/>
          </w:tcPr>
          <w:p w14:paraId="1E8678C0" w14:textId="77777777" w:rsidR="00FB3D09" w:rsidRPr="002A677E" w:rsidRDefault="00FB3D09" w:rsidP="00822842">
            <w:pPr>
              <w:rPr>
                <w:rFonts w:ascii="Times New Roman" w:hAnsi="Times New Roman"/>
                <w:sz w:val="24"/>
              </w:rPr>
            </w:pPr>
            <w:r>
              <w:rPr>
                <w:rFonts w:ascii="Times New Roman" w:hAnsi="Times New Roman"/>
                <w:sz w:val="24"/>
              </w:rPr>
              <w:t>Útmutató</w:t>
            </w:r>
          </w:p>
        </w:tc>
      </w:tr>
      <w:tr w:rsidR="00FB3D09" w:rsidRPr="002A677E" w14:paraId="45ADFC09" w14:textId="77777777" w:rsidTr="00822842">
        <w:tc>
          <w:tcPr>
            <w:tcW w:w="1271" w:type="dxa"/>
          </w:tcPr>
          <w:p w14:paraId="6A7BEAE2" w14:textId="77777777" w:rsidR="00FB3D09" w:rsidRPr="002A677E" w:rsidRDefault="00FB3D09" w:rsidP="00822842">
            <w:pPr>
              <w:rPr>
                <w:rFonts w:ascii="Times New Roman" w:hAnsi="Times New Roman"/>
                <w:sz w:val="24"/>
              </w:rPr>
            </w:pPr>
            <w:r>
              <w:rPr>
                <w:rFonts w:ascii="Times New Roman" w:hAnsi="Times New Roman"/>
                <w:sz w:val="24"/>
              </w:rPr>
              <w:t>PD-SÁV</w:t>
            </w:r>
          </w:p>
        </w:tc>
        <w:tc>
          <w:tcPr>
            <w:tcW w:w="8557" w:type="dxa"/>
          </w:tcPr>
          <w:p w14:paraId="2EEEC841" w14:textId="21B277A7" w:rsidR="00FB3D09" w:rsidRDefault="00FB3D09" w:rsidP="00822842">
            <w:pPr>
              <w:rPr>
                <w:rFonts w:ascii="Times New Roman" w:hAnsi="Times New Roman"/>
                <w:sz w:val="24"/>
              </w:rPr>
            </w:pPr>
            <w:r>
              <w:rPr>
                <w:rFonts w:ascii="Times New Roman" w:hAnsi="Times New Roman"/>
                <w:sz w:val="24"/>
              </w:rPr>
              <w:t>A kitettségeket a rögzített PD-sáv megfelelő kategóriájához kell rendelni az ebbe a kitettségi osztályba sorolt egyes kötelezettek becsült PD-értéke alapján (a hitelkockázat-mérséklésből eredő helyettesítési hatások figyelembevételével). Az intézményeknek minden kitettséget egyenként kell a táblában megadott PD-sávhoz hozzárendelniük, figyelembe véve a folyamatos skálaértékeket is. Valamennyi nemteljesítő kitettséget a 100 %-os PD-t képviselő kategóriának kell tartalmaznia.</w:t>
            </w:r>
          </w:p>
          <w:p w14:paraId="19852B86" w14:textId="77777777" w:rsidR="00FB3D09" w:rsidRDefault="00FB3D09" w:rsidP="00822842">
            <w:pPr>
              <w:rPr>
                <w:rFonts w:ascii="Times New Roman" w:hAnsi="Times New Roman"/>
                <w:sz w:val="24"/>
              </w:rPr>
            </w:pPr>
          </w:p>
          <w:p w14:paraId="24E37937" w14:textId="77777777" w:rsidR="00FB3D09" w:rsidRPr="002A677E" w:rsidRDefault="00FB3D09" w:rsidP="00822842">
            <w:pPr>
              <w:rPr>
                <w:rFonts w:ascii="Times New Roman" w:hAnsi="Times New Roman"/>
                <w:sz w:val="24"/>
              </w:rPr>
            </w:pPr>
            <w:r>
              <w:rPr>
                <w:rFonts w:ascii="Times New Roman" w:hAnsi="Times New Roman"/>
                <w:sz w:val="24"/>
              </w:rPr>
              <w:t>Az {r0170, c0050} és az {r0170, c0070} mezőt az összes kitettségi osztályra vonatkozóan meg kell adni, de nem kell megadni az összes kitettségi osztály egészére vonatkozó összesített értéket.</w:t>
            </w:r>
          </w:p>
        </w:tc>
      </w:tr>
    </w:tbl>
    <w:p w14:paraId="3EAAC2EE"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09" w:name="_Toc19715758"/>
      <w:bookmarkStart w:id="110" w:name="_Toc151714402"/>
      <w:r>
        <w:rPr>
          <w:rFonts w:ascii="Times New Roman" w:hAnsi="Times New Roman"/>
          <w:sz w:val="24"/>
        </w:rPr>
        <w:t>C 08.04 – Hitelkockázat és nyitva szállítások: IRB módszer szerinti tőkekövetelmény: a kockázattal súlyozott kitettségérték változásának kimutatása (CR IRB 4)</w:t>
      </w:r>
      <w:bookmarkEnd w:id="109"/>
      <w:bookmarkEnd w:id="110"/>
    </w:p>
    <w:p w14:paraId="38050040"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1" w:name="_Toc19715759"/>
      <w:bookmarkStart w:id="112" w:name="_Toc151714403"/>
      <w:r>
        <w:rPr>
          <w:rFonts w:ascii="Times New Roman" w:hAnsi="Times New Roman"/>
          <w:sz w:val="24"/>
        </w:rPr>
        <w:t>Általános megjegyzések</w:t>
      </w:r>
      <w:bookmarkEnd w:id="111"/>
      <w:bookmarkEnd w:id="112"/>
    </w:p>
    <w:p w14:paraId="32E75E48"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78</w:t>
      </w:r>
      <w:r>
        <w:fldChar w:fldCharType="end"/>
      </w:r>
      <w:r>
        <w:t>. Az intézményeknek az ebben a táblában szereplő információkat az 575/2013/EU rendelet 438. cikke h) pontjának alkalmazásában kell megadniuk. Ez a tábla nem tartalmazza a partnerkockázati kitettségeket (az 575/2013/EU rendelet harmadik része II. címének 6. fejezete).</w:t>
      </w:r>
    </w:p>
    <w:p w14:paraId="7118D17C" w14:textId="77777777" w:rsidR="00FB3D09" w:rsidRPr="002A677E" w:rsidRDefault="00FB3D09" w:rsidP="00FB3D09">
      <w:pPr>
        <w:pStyle w:val="InstructionsText2"/>
        <w:numPr>
          <w:ilvl w:val="0"/>
          <w:numId w:val="0"/>
        </w:numPr>
        <w:ind w:left="993"/>
      </w:pPr>
      <w:r w:rsidRPr="00624117">
        <w:fldChar w:fldCharType="begin"/>
      </w:r>
      <w:r w:rsidRPr="002A677E">
        <w:instrText xml:space="preserve"> seq paragraphs </w:instrText>
      </w:r>
      <w:r w:rsidRPr="00624117">
        <w:fldChar w:fldCharType="separate"/>
      </w:r>
      <w:r>
        <w:t>79</w:t>
      </w:r>
      <w:r w:rsidRPr="00624117">
        <w:fldChar w:fldCharType="end"/>
      </w:r>
      <w:r>
        <w:t xml:space="preserve">. Az intézményeknek az RWEA változását a vonatkozási időpont szerinti kockázattal súlyozott kitettségérték és az előző vonatkozási időpont szerinti kockázattal súlyozott kitettségérték közötti változásként kell megadniuk. </w:t>
      </w:r>
      <w:r>
        <w:lastRenderedPageBreak/>
        <w:t xml:space="preserve">Negyedéves adatszolgáltatás esetén az adatszolgáltatási vonatkozási időpont negyedéve előtti negyedév végét kell használni. </w:t>
      </w:r>
    </w:p>
    <w:p w14:paraId="60298060"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3" w:name="_Toc19715760"/>
      <w:bookmarkStart w:id="114" w:name="_Toc151714404"/>
      <w:r>
        <w:rPr>
          <w:rFonts w:ascii="Times New Roman" w:hAnsi="Times New Roman"/>
          <w:sz w:val="24"/>
        </w:rPr>
        <w:t>A tábla egyes részeire vonatkozó útmutató</w:t>
      </w:r>
      <w:bookmarkEnd w:id="113"/>
      <w:bookmarkEnd w:id="11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0997C591" w14:textId="77777777" w:rsidTr="00822842">
        <w:tc>
          <w:tcPr>
            <w:tcW w:w="1188" w:type="dxa"/>
            <w:tcBorders>
              <w:bottom w:val="single" w:sz="4" w:space="0" w:color="auto"/>
            </w:tcBorders>
            <w:shd w:val="clear" w:color="auto" w:fill="CCCCCC"/>
          </w:tcPr>
          <w:p w14:paraId="332EC64E" w14:textId="77777777" w:rsidR="00FB3D09" w:rsidRPr="002A677E" w:rsidRDefault="00FB3D09" w:rsidP="00822842">
            <w:pPr>
              <w:rPr>
                <w:rFonts w:ascii="Times New Roman" w:hAnsi="Times New Roman"/>
                <w:sz w:val="24"/>
              </w:rPr>
            </w:pPr>
            <w:r>
              <w:rPr>
                <w:rFonts w:ascii="Times New Roman" w:hAnsi="Times New Roman"/>
                <w:sz w:val="24"/>
              </w:rPr>
              <w:t>Oszlop</w:t>
            </w:r>
          </w:p>
        </w:tc>
        <w:tc>
          <w:tcPr>
            <w:tcW w:w="8843" w:type="dxa"/>
            <w:tcBorders>
              <w:bottom w:val="single" w:sz="4" w:space="0" w:color="auto"/>
            </w:tcBorders>
            <w:shd w:val="clear" w:color="auto" w:fill="CCCCCC"/>
          </w:tcPr>
          <w:p w14:paraId="247A799A" w14:textId="77777777" w:rsidR="00FB3D09" w:rsidRPr="002A677E" w:rsidRDefault="00FB3D09" w:rsidP="00822842">
            <w:pPr>
              <w:rPr>
                <w:rFonts w:ascii="Times New Roman" w:hAnsi="Times New Roman"/>
                <w:sz w:val="24"/>
              </w:rPr>
            </w:pPr>
            <w:r>
              <w:rPr>
                <w:rFonts w:ascii="Times New Roman" w:hAnsi="Times New Roman"/>
                <w:sz w:val="24"/>
              </w:rPr>
              <w:t>Útmutató</w:t>
            </w:r>
          </w:p>
        </w:tc>
      </w:tr>
      <w:tr w:rsidR="00FB3D09" w:rsidRPr="002A677E" w14:paraId="2B589794" w14:textId="77777777" w:rsidTr="0082284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1E82FD21" w14:textId="77777777" w:rsidR="00FB3D09" w:rsidRPr="002A677E" w:rsidRDefault="00FB3D09" w:rsidP="00822842">
            <w:pPr>
              <w:rPr>
                <w:rFonts w:ascii="Times New Roman" w:hAnsi="Times New Roman"/>
                <w:sz w:val="24"/>
              </w:rPr>
            </w:pPr>
            <w:r>
              <w:rPr>
                <w:rFonts w:ascii="Times New Roman" w:hAnsi="Times New Roman"/>
                <w:sz w:val="24"/>
              </w:rPr>
              <w:t>0010</w:t>
            </w:r>
          </w:p>
          <w:p w14:paraId="2235B055" w14:textId="77777777" w:rsidR="00FB3D09" w:rsidRPr="002A677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BA827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KOCKÁZATTAL SÚLYOZOTT KITETTSÉGÉRTÉK</w:t>
            </w:r>
          </w:p>
          <w:p w14:paraId="0E2B39E4" w14:textId="77777777" w:rsidR="00FB3D09" w:rsidRPr="002A677E" w:rsidRDefault="00FB3D09" w:rsidP="00822842">
            <w:pPr>
              <w:rPr>
                <w:rFonts w:ascii="Times New Roman" w:hAnsi="Times New Roman"/>
                <w:sz w:val="24"/>
              </w:rPr>
            </w:pPr>
            <w:r>
              <w:rPr>
                <w:rFonts w:ascii="Times New Roman" w:hAnsi="Times New Roman"/>
                <w:sz w:val="24"/>
              </w:rPr>
              <w:t>A hitelkockázatra vonatkozó, kockázattal súlyozott teljes kitettségérték az IRB módszer szerint kiszámítva, figyelembe véve az 575/2013/EU rendelet 501. és 501a. cikke szerinti szorzókat.</w:t>
            </w:r>
          </w:p>
        </w:tc>
      </w:tr>
      <w:tr w:rsidR="00FB3D09" w:rsidRPr="002A677E" w14:paraId="4E7D65E6" w14:textId="77777777" w:rsidTr="00822842">
        <w:trPr>
          <w:trHeight w:val="338"/>
        </w:trPr>
        <w:tc>
          <w:tcPr>
            <w:tcW w:w="1188" w:type="dxa"/>
            <w:tcBorders>
              <w:top w:val="single" w:sz="4" w:space="0" w:color="auto"/>
              <w:left w:val="nil"/>
              <w:bottom w:val="nil"/>
              <w:right w:val="nil"/>
            </w:tcBorders>
            <w:shd w:val="clear" w:color="auto" w:fill="auto"/>
          </w:tcPr>
          <w:p w14:paraId="00BBCD24" w14:textId="77777777" w:rsidR="00FB3D09" w:rsidRPr="002A677E" w:rsidRDefault="00FB3D09" w:rsidP="00822842">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3FB99B08" w14:textId="77777777" w:rsidR="00FB3D09" w:rsidRPr="002A677E" w:rsidRDefault="00FB3D09" w:rsidP="00822842">
            <w:pPr>
              <w:rPr>
                <w:rFonts w:ascii="Times New Roman" w:hAnsi="Times New Roman"/>
                <w:b/>
                <w:sz w:val="24"/>
              </w:rPr>
            </w:pPr>
          </w:p>
        </w:tc>
      </w:tr>
      <w:tr w:rsidR="00FB3D09" w:rsidRPr="002A677E" w14:paraId="7ED73005" w14:textId="77777777" w:rsidTr="00822842">
        <w:tc>
          <w:tcPr>
            <w:tcW w:w="1188" w:type="dxa"/>
            <w:shd w:val="clear" w:color="auto" w:fill="CCCCCC"/>
          </w:tcPr>
          <w:p w14:paraId="3BBB0A09" w14:textId="77777777" w:rsidR="00FB3D09" w:rsidRPr="002A677E" w:rsidRDefault="00FB3D09" w:rsidP="00822842">
            <w:pPr>
              <w:rPr>
                <w:rFonts w:ascii="Times New Roman" w:hAnsi="Times New Roman"/>
                <w:sz w:val="24"/>
              </w:rPr>
            </w:pPr>
            <w:r>
              <w:rPr>
                <w:rFonts w:ascii="Times New Roman" w:hAnsi="Times New Roman"/>
                <w:sz w:val="24"/>
              </w:rPr>
              <w:t>Sorok</w:t>
            </w:r>
          </w:p>
        </w:tc>
        <w:tc>
          <w:tcPr>
            <w:tcW w:w="8843" w:type="dxa"/>
            <w:shd w:val="clear" w:color="auto" w:fill="CCCCCC"/>
          </w:tcPr>
          <w:p w14:paraId="117CE12D" w14:textId="77777777" w:rsidR="00FB3D09" w:rsidRPr="002A677E" w:rsidRDefault="00FB3D09" w:rsidP="00822842">
            <w:pPr>
              <w:rPr>
                <w:rFonts w:ascii="Times New Roman" w:hAnsi="Times New Roman"/>
                <w:sz w:val="24"/>
              </w:rPr>
            </w:pPr>
            <w:r>
              <w:rPr>
                <w:rFonts w:ascii="Times New Roman" w:hAnsi="Times New Roman"/>
                <w:sz w:val="24"/>
              </w:rPr>
              <w:t>Útmutató</w:t>
            </w:r>
          </w:p>
        </w:tc>
      </w:tr>
      <w:tr w:rsidR="00FB3D09" w:rsidRPr="002A677E" w14:paraId="1452B7A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05A2442" w14:textId="77777777" w:rsidR="00FB3D09" w:rsidRPr="002A677E" w:rsidRDefault="00FB3D09" w:rsidP="00822842">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D2DB5F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KOCKÁZATTAL SÚLYOZOTT KITETTSÉGÉRTÉK AZ ELŐZŐ ADATSZOLGÁLTATÁSI IDŐSZAK VÉGÉN</w:t>
            </w:r>
          </w:p>
          <w:p w14:paraId="1DA9C0B6" w14:textId="77777777" w:rsidR="00FB3D09" w:rsidRPr="002A677E" w:rsidRDefault="00FB3D09" w:rsidP="00822842">
            <w:pPr>
              <w:rPr>
                <w:rFonts w:ascii="Times New Roman" w:hAnsi="Times New Roman"/>
                <w:sz w:val="24"/>
              </w:rPr>
            </w:pPr>
            <w:r>
              <w:rPr>
                <w:rFonts w:ascii="Times New Roman" w:hAnsi="Times New Roman"/>
                <w:sz w:val="24"/>
              </w:rPr>
              <w:t>Kockázattal súlyozott kitettségérték az előző adatszolgáltatási időszak végén, az 575/2013/EU rendelet 501. és 501a. cikkében meghatározott kkv-szorzó és infrastruktúra-szorzó alkalmazását követően</w:t>
            </w:r>
          </w:p>
        </w:tc>
      </w:tr>
      <w:tr w:rsidR="00FB3D09" w:rsidRPr="002A677E" w14:paraId="512A9B2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45C1141"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0EBC1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ESZKÖZNAGYSÁG (+/–)</w:t>
            </w:r>
          </w:p>
          <w:p w14:paraId="1F51764D" w14:textId="77777777" w:rsidR="00FB3D09" w:rsidRPr="002A677E" w:rsidRDefault="00FB3D09" w:rsidP="00822842">
            <w:pPr>
              <w:rPr>
                <w:rFonts w:ascii="Times New Roman" w:hAnsi="Times New Roman"/>
                <w:sz w:val="24"/>
              </w:rPr>
            </w:pPr>
            <w:r>
              <w:rPr>
                <w:rFonts w:ascii="Times New Roman" w:hAnsi="Times New Roman"/>
                <w:sz w:val="24"/>
              </w:rPr>
              <w:t>A kockázattal súlyozott kitettségértékben az eszközök nagysága miatt az előző adatszolgáltatási időszak vége és a folyó adatszolgáltatási időszak vége között bekövetkezett változás. Ide értendők a könyv nagyságát és összetételét érintő szerves változások (beleértve az új tevékenységek indítását és a lejáró hiteleket), de nem számítva a könyv nagyságában a gazdálkodó egységek akvizíciója és elidegenítése miatt bekövetkezett változásokat.</w:t>
            </w:r>
          </w:p>
          <w:p w14:paraId="13341C33" w14:textId="77777777" w:rsidR="00FB3D09" w:rsidRPr="002A677E" w:rsidRDefault="00FB3D09" w:rsidP="00822842">
            <w:pPr>
              <w:rPr>
                <w:rFonts w:ascii="Times New Roman" w:hAnsi="Times New Roman"/>
                <w:sz w:val="24"/>
              </w:rPr>
            </w:pPr>
            <w:r>
              <w:rPr>
                <w:rFonts w:ascii="Times New Roman" w:hAnsi="Times New Roman"/>
                <w:sz w:val="24"/>
              </w:rPr>
              <w:t>A kockázattal súlyozott kitettségértékek növekedését pozitív összegként, a kockázattal súlyozott kitettségértékek csökkenését pedig negatív összegként kell feltüntetni.</w:t>
            </w:r>
          </w:p>
        </w:tc>
      </w:tr>
      <w:tr w:rsidR="00FB3D09" w:rsidRPr="002A677E" w14:paraId="17C5A8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A8F2412"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67BEE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ESZKÖZMINŐSÉG (+/–)</w:t>
            </w:r>
          </w:p>
          <w:p w14:paraId="77126645" w14:textId="77777777" w:rsidR="00FB3D09" w:rsidRPr="002A677E" w:rsidRDefault="00FB3D09" w:rsidP="00822842">
            <w:pPr>
              <w:rPr>
                <w:rFonts w:ascii="Times New Roman" w:hAnsi="Times New Roman"/>
                <w:sz w:val="24"/>
              </w:rPr>
            </w:pPr>
            <w:r>
              <w:rPr>
                <w:rFonts w:ascii="Times New Roman" w:hAnsi="Times New Roman"/>
                <w:sz w:val="24"/>
              </w:rPr>
              <w:t>A kockázattal súlyozott kitettségértékben az eszközminőség miatt az előző adatszolgáltatási időszak vége és a jelenlegi adatszolgáltatási időszak vége között bekövetkezett változás. Ide értendők az intézmény eszközeinek értékelt minőségében a hitelfelvevői kockázat változásai, például a minősítési kategória módosulása vagy hasonló hatások miatt bekövetkezett változások.</w:t>
            </w:r>
          </w:p>
          <w:p w14:paraId="17EA6F89" w14:textId="77777777" w:rsidR="00FB3D09" w:rsidRPr="002A677E" w:rsidRDefault="00FB3D09" w:rsidP="00822842">
            <w:pPr>
              <w:rPr>
                <w:rFonts w:ascii="Times New Roman" w:hAnsi="Times New Roman"/>
                <w:sz w:val="24"/>
              </w:rPr>
            </w:pPr>
            <w:r>
              <w:rPr>
                <w:rFonts w:ascii="Times New Roman" w:hAnsi="Times New Roman"/>
                <w:sz w:val="24"/>
              </w:rPr>
              <w:t>A kockázattal súlyozott kitettségértékek növekedését pozitív összegként, a kockázattal súlyozott kitettségértékek csökkenését pedig negatív összegként kell feltüntetni.</w:t>
            </w:r>
          </w:p>
        </w:tc>
      </w:tr>
      <w:tr w:rsidR="00FB3D09" w:rsidRPr="002A677E" w14:paraId="6AF2D12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4CBAC13"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9509BA"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MODELLFRISSÍTÉSEK (+/–)</w:t>
            </w:r>
          </w:p>
          <w:p w14:paraId="44A30095" w14:textId="77777777" w:rsidR="00FB3D09" w:rsidRPr="002A677E" w:rsidRDefault="00FB3D09" w:rsidP="00822842">
            <w:pPr>
              <w:rPr>
                <w:rFonts w:ascii="Times New Roman" w:hAnsi="Times New Roman"/>
                <w:sz w:val="24"/>
              </w:rPr>
            </w:pPr>
            <w:r>
              <w:rPr>
                <w:rFonts w:ascii="Times New Roman" w:hAnsi="Times New Roman"/>
                <w:sz w:val="24"/>
              </w:rPr>
              <w:t>A kockázattal súlyozott kitettségértékben a modellek frissítései miatt az előző adatszolgáltatási időszak vége és a jelenlegi adatszolgáltatási időszak vége között bekövetkezett változás. Ide értendők az új modellek bevezetése, a modellek változásai, a modell alkalmazási körének változásai vagy a modell hiányosságainak orvoslását célzó bármely egyéb változás miatt bekövetkezett változások.</w:t>
            </w:r>
          </w:p>
          <w:p w14:paraId="3C5A3011" w14:textId="77777777" w:rsidR="00FB3D09" w:rsidRPr="002A677E" w:rsidRDefault="00FB3D09" w:rsidP="00822842">
            <w:pPr>
              <w:rPr>
                <w:rFonts w:ascii="Times New Roman" w:hAnsi="Times New Roman"/>
                <w:sz w:val="24"/>
              </w:rPr>
            </w:pPr>
            <w:r>
              <w:rPr>
                <w:rFonts w:ascii="Times New Roman" w:hAnsi="Times New Roman"/>
                <w:sz w:val="24"/>
              </w:rPr>
              <w:lastRenderedPageBreak/>
              <w:t>A kockázattal súlyozott kitettségértékek növekedését pozitív összegként, a kockázattal súlyozott kitettségértékek csökkenését pedig negatív összegként kell feltüntetni.</w:t>
            </w:r>
          </w:p>
        </w:tc>
      </w:tr>
      <w:tr w:rsidR="00FB3D09" w:rsidRPr="002A677E" w14:paraId="538C412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04E5189" w14:textId="77777777" w:rsidR="00FB3D09" w:rsidRPr="002A677E" w:rsidRDefault="00FB3D09" w:rsidP="00822842">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79AA73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MÓDSZERTAN ÉS POLITIKA (+/–)</w:t>
            </w:r>
          </w:p>
          <w:p w14:paraId="630D0C5E" w14:textId="77777777" w:rsidR="00FB3D09" w:rsidRPr="002A677E" w:rsidRDefault="00FB3D09" w:rsidP="00822842">
            <w:pPr>
              <w:rPr>
                <w:rFonts w:ascii="Times New Roman" w:hAnsi="Times New Roman"/>
                <w:sz w:val="24"/>
              </w:rPr>
            </w:pPr>
            <w:r>
              <w:rPr>
                <w:rFonts w:ascii="Times New Roman" w:hAnsi="Times New Roman"/>
                <w:sz w:val="24"/>
              </w:rPr>
              <w:t xml:space="preserve">Ide értendők a számításokban a szabályozási politika változásai, így például a meglévő szabályok módosítása és új szabályok bevezetése miatt bekövetkezett módszertani változások, de nem tartoznak ide a modellek azon változásai, amelyeket a 0040-es sor tartalmaz. </w:t>
            </w:r>
          </w:p>
          <w:p w14:paraId="06A06D42" w14:textId="77777777" w:rsidR="00FB3D09" w:rsidRPr="002A677E" w:rsidRDefault="00FB3D09" w:rsidP="00822842">
            <w:pPr>
              <w:rPr>
                <w:rFonts w:ascii="Times New Roman" w:hAnsi="Times New Roman"/>
                <w:sz w:val="24"/>
              </w:rPr>
            </w:pPr>
            <w:r>
              <w:rPr>
                <w:rFonts w:ascii="Times New Roman" w:hAnsi="Times New Roman"/>
                <w:sz w:val="24"/>
              </w:rPr>
              <w:t>A kockázattal súlyozott kitettségértékek növekedését pozitív összegként, a kockázattal súlyozott kitettségértékek csökkenését pedig negatív összegként kell feltüntetni.</w:t>
            </w:r>
          </w:p>
        </w:tc>
      </w:tr>
      <w:tr w:rsidR="00FB3D09" w:rsidRPr="002A677E" w14:paraId="1DA6488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ACA6F9"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8E799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AKVIZÍCIÓK ÉS ELIDEGENÍTÉSEK (+/–)</w:t>
            </w:r>
          </w:p>
          <w:p w14:paraId="3CDAAB15" w14:textId="77777777" w:rsidR="00FB3D09" w:rsidRPr="002A677E" w:rsidRDefault="00FB3D09" w:rsidP="00822842">
            <w:pPr>
              <w:rPr>
                <w:rFonts w:ascii="Times New Roman" w:hAnsi="Times New Roman"/>
                <w:sz w:val="24"/>
              </w:rPr>
            </w:pPr>
            <w:r>
              <w:rPr>
                <w:rFonts w:ascii="Times New Roman" w:hAnsi="Times New Roman"/>
                <w:sz w:val="24"/>
              </w:rPr>
              <w:t>A kockázattal súlyozott kitettségértékben a felvásárlások és értékesítések miatt az előző adatszolgáltatási időszak vége és a jelenlegi adatszolgáltatási időszak vége között bekövetkezett változás, azaz a könyv nagyságában a gazdálkodó egységek felvásárlása és eladása miatt bekövetkezett változások.</w:t>
            </w:r>
          </w:p>
          <w:p w14:paraId="2BE224B0" w14:textId="77777777" w:rsidR="00FB3D09" w:rsidRPr="002A677E" w:rsidRDefault="00FB3D09" w:rsidP="00822842">
            <w:pPr>
              <w:rPr>
                <w:rFonts w:ascii="Times New Roman" w:hAnsi="Times New Roman"/>
                <w:sz w:val="24"/>
              </w:rPr>
            </w:pPr>
            <w:r>
              <w:rPr>
                <w:rFonts w:ascii="Times New Roman" w:hAnsi="Times New Roman"/>
                <w:sz w:val="24"/>
              </w:rPr>
              <w:t>A kockázattal súlyozott kitettségértékek növekedését pozitív összegként, a kockázattal súlyozott kitettségértékek csökkenését pedig negatív összegként kell feltüntetni.</w:t>
            </w:r>
          </w:p>
        </w:tc>
      </w:tr>
      <w:tr w:rsidR="00FB3D09" w:rsidRPr="002A677E" w14:paraId="09BBCEC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396605" w14:textId="77777777" w:rsidR="00FB3D09" w:rsidRPr="002A677E" w:rsidRDefault="00FB3D09" w:rsidP="00822842">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80B94C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DEVIZAÁRFOLYAM-MOZGÁSOK (+/–)</w:t>
            </w:r>
          </w:p>
          <w:p w14:paraId="5F574A4B" w14:textId="77777777" w:rsidR="00FB3D09" w:rsidRPr="002A677E" w:rsidRDefault="00FB3D09" w:rsidP="00822842">
            <w:pPr>
              <w:rPr>
                <w:rFonts w:ascii="Times New Roman" w:hAnsi="Times New Roman"/>
                <w:sz w:val="24"/>
              </w:rPr>
            </w:pPr>
            <w:r>
              <w:rPr>
                <w:rFonts w:ascii="Times New Roman" w:hAnsi="Times New Roman"/>
                <w:sz w:val="24"/>
              </w:rPr>
              <w:t>A kockázattal súlyozott kitettségértékben a devizaárfolyam-mozgások miatt az előző beszámolási időszak vége és a folyó beszámolási időszak vége között bekövetkezett változások, azaz a devizaátszámítási mozgásokból eredő változások.</w:t>
            </w:r>
          </w:p>
          <w:p w14:paraId="32C9FB56" w14:textId="77777777" w:rsidR="00FB3D09" w:rsidRPr="002A677E" w:rsidRDefault="00FB3D09" w:rsidP="00822842">
            <w:pPr>
              <w:rPr>
                <w:rFonts w:ascii="Times New Roman" w:hAnsi="Times New Roman"/>
                <w:sz w:val="24"/>
              </w:rPr>
            </w:pPr>
            <w:r>
              <w:rPr>
                <w:rFonts w:ascii="Times New Roman" w:hAnsi="Times New Roman"/>
                <w:sz w:val="24"/>
              </w:rPr>
              <w:t>A kockázattal súlyozott kitettségértékek növekedését pozitív összegként, a kockázattal súlyozott kitettségértékek csökkenését pedig negatív összegként kell feltüntetni.</w:t>
            </w:r>
          </w:p>
        </w:tc>
      </w:tr>
      <w:tr w:rsidR="00FB3D09" w:rsidRPr="002A677E" w14:paraId="3535A9E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4F8C5DF" w14:textId="77777777" w:rsidR="00FB3D09" w:rsidRPr="002A677E" w:rsidRDefault="00FB3D09" w:rsidP="00822842">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6CBAF1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EGYÉB (+/–)</w:t>
            </w:r>
          </w:p>
          <w:p w14:paraId="5F09C0BA" w14:textId="77777777" w:rsidR="00FB3D09" w:rsidRPr="002A677E" w:rsidRDefault="00FB3D09" w:rsidP="00822842">
            <w:pPr>
              <w:rPr>
                <w:rFonts w:ascii="Times New Roman" w:hAnsi="Times New Roman"/>
                <w:sz w:val="24"/>
              </w:rPr>
            </w:pPr>
            <w:r>
              <w:rPr>
                <w:rFonts w:ascii="Times New Roman" w:hAnsi="Times New Roman"/>
                <w:sz w:val="24"/>
              </w:rPr>
              <w:t>A kockázattal súlyozott kitettségértékben egyéb tényezők miatt az előző adatszolgáltatási időszak vége és a jelenlegi adatszolgáltatási időszak vége között bekövetkezett változás.</w:t>
            </w:r>
          </w:p>
          <w:p w14:paraId="14338D91" w14:textId="77777777" w:rsidR="00FB3D09" w:rsidRPr="002A677E" w:rsidRDefault="00FB3D09" w:rsidP="00822842">
            <w:pPr>
              <w:rPr>
                <w:rFonts w:ascii="Times New Roman" w:hAnsi="Times New Roman"/>
                <w:sz w:val="24"/>
              </w:rPr>
            </w:pPr>
            <w:r>
              <w:rPr>
                <w:rFonts w:ascii="Times New Roman" w:hAnsi="Times New Roman"/>
                <w:sz w:val="24"/>
              </w:rPr>
              <w:t xml:space="preserve">Ezt a kategóriát a más kategóriába nem sorolható változások kimutatására kell használni. </w:t>
            </w:r>
          </w:p>
          <w:p w14:paraId="18CAC008" w14:textId="77777777" w:rsidR="00FB3D09" w:rsidRPr="002A677E" w:rsidRDefault="00FB3D09" w:rsidP="00822842">
            <w:pPr>
              <w:rPr>
                <w:rFonts w:ascii="Times New Roman" w:hAnsi="Times New Roman"/>
                <w:sz w:val="24"/>
              </w:rPr>
            </w:pPr>
            <w:r>
              <w:rPr>
                <w:rFonts w:ascii="Times New Roman" w:hAnsi="Times New Roman"/>
                <w:sz w:val="24"/>
              </w:rPr>
              <w:t>A kockázattal súlyozott kitettségértékek növekedését pozitív összegként, a kockázattal súlyozott kitettségértékek csökkenését pedig negatív összegként kell feltüntetni.</w:t>
            </w:r>
          </w:p>
        </w:tc>
      </w:tr>
      <w:tr w:rsidR="00FB3D09" w:rsidRPr="002A677E" w14:paraId="0BDA1D0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C3E931" w14:textId="77777777" w:rsidR="00FB3D09" w:rsidRPr="002A677E" w:rsidRDefault="00FB3D09" w:rsidP="00822842">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4D5FAA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KOCKÁZATTAL SÚLYOZOTT KITETTSÉGÉRTÉK AZ ADATSZOLGÁLTATÁSI IDŐSZAK VÉGÉN</w:t>
            </w:r>
          </w:p>
          <w:p w14:paraId="1FFEC50C" w14:textId="77777777" w:rsidR="00FB3D09" w:rsidRPr="002A677E" w:rsidRDefault="00FB3D09" w:rsidP="00822842">
            <w:pPr>
              <w:pStyle w:val="CommentText"/>
            </w:pPr>
            <w:r>
              <w:rPr>
                <w:rFonts w:ascii="Times New Roman" w:hAnsi="Times New Roman"/>
                <w:sz w:val="24"/>
              </w:rPr>
              <w:t>Kockázattal súlyozott kitettségérték az adatszolgáltatási időszakban, az 575/2013/EU rendelet 501. és 501a. cikkében meghatározott kkv-szorzó és infrastruktúra-szorzó alkalmazását követően.</w:t>
            </w:r>
          </w:p>
        </w:tc>
      </w:tr>
    </w:tbl>
    <w:p w14:paraId="49993E55"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15" w:name="_Toc19715761"/>
      <w:bookmarkStart w:id="116" w:name="_Toc151714405"/>
      <w:r>
        <w:rPr>
          <w:rFonts w:ascii="Times New Roman" w:hAnsi="Times New Roman"/>
          <w:sz w:val="24"/>
        </w:rPr>
        <w:t>C 08.05 – Hitelkockázat és nyitva szállítások: IRB módszer szerinti tőkekövetelmény: PD utótesztelése (CR IRB 5)</w:t>
      </w:r>
      <w:bookmarkEnd w:id="115"/>
      <w:bookmarkEnd w:id="116"/>
    </w:p>
    <w:p w14:paraId="16F92F14"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7" w:name="_Toc19715762"/>
      <w:bookmarkStart w:id="118" w:name="_Toc151714406"/>
      <w:r>
        <w:rPr>
          <w:rFonts w:ascii="Times New Roman" w:hAnsi="Times New Roman"/>
          <w:sz w:val="24"/>
        </w:rPr>
        <w:t>Általános megjegyzések</w:t>
      </w:r>
      <w:bookmarkEnd w:id="117"/>
      <w:bookmarkEnd w:id="118"/>
    </w:p>
    <w:p w14:paraId="708FD0D4"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80</w:t>
      </w:r>
      <w:r>
        <w:fldChar w:fldCharType="end"/>
      </w:r>
      <w:r>
        <w:t xml:space="preserve">. Az intézményeknek az ebben a táblában szereplő információkat az 575/2013/EU rendelet 452. cikke h) pontjának alkalmazásában kell megadniuk. Az intézménynek </w:t>
      </w:r>
      <w:r>
        <w:lastRenderedPageBreak/>
        <w:t>az egyes kitettségi osztályokon belül figyelembe kell vennie az alkalmazott modelleket, és be kell mutatnia az azon modellek hatálya alá tartozó releváns kitettségi osztály kockázattal súlyozott kitettségértékének százalékos arányát, amelyekre vonatkozóan itt az utótesztelés eredményeit kell feltüntetni. Ez a tábla nem tartalmazza a partnerkockázati kitettségeket (az 575/2013/EU rendelet harmadik része II. címének 6. fejezete).</w:t>
      </w:r>
    </w:p>
    <w:p w14:paraId="584B488E"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9" w:name="_Toc19715763"/>
      <w:bookmarkStart w:id="120" w:name="_Toc151714407"/>
      <w:r>
        <w:rPr>
          <w:rFonts w:ascii="Times New Roman" w:hAnsi="Times New Roman"/>
          <w:sz w:val="24"/>
        </w:rPr>
        <w:t>A tábla egyes részeire vonatkozó útmutató</w:t>
      </w:r>
      <w:bookmarkEnd w:id="119"/>
      <w:bookmarkEnd w:id="1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768D8734" w14:textId="77777777" w:rsidTr="00822842">
        <w:tc>
          <w:tcPr>
            <w:tcW w:w="1188" w:type="dxa"/>
            <w:shd w:val="clear" w:color="auto" w:fill="CCCCCC"/>
          </w:tcPr>
          <w:p w14:paraId="5B2B4D05" w14:textId="77777777" w:rsidR="00FB3D09" w:rsidRPr="002A677E" w:rsidRDefault="00FB3D09" w:rsidP="00822842">
            <w:pPr>
              <w:rPr>
                <w:rFonts w:ascii="Times New Roman" w:hAnsi="Times New Roman"/>
                <w:sz w:val="24"/>
              </w:rPr>
            </w:pPr>
            <w:r>
              <w:rPr>
                <w:rFonts w:ascii="Times New Roman" w:hAnsi="Times New Roman"/>
                <w:sz w:val="24"/>
              </w:rPr>
              <w:t>Oszlopok</w:t>
            </w:r>
          </w:p>
        </w:tc>
        <w:tc>
          <w:tcPr>
            <w:tcW w:w="8843" w:type="dxa"/>
            <w:shd w:val="clear" w:color="auto" w:fill="CCCCCC"/>
          </w:tcPr>
          <w:p w14:paraId="2736A610" w14:textId="77777777" w:rsidR="00FB3D09" w:rsidRPr="002A677E" w:rsidRDefault="00FB3D09" w:rsidP="00822842">
            <w:pPr>
              <w:rPr>
                <w:rFonts w:ascii="Times New Roman" w:hAnsi="Times New Roman"/>
                <w:sz w:val="24"/>
              </w:rPr>
            </w:pPr>
            <w:r>
              <w:rPr>
                <w:rFonts w:ascii="Times New Roman" w:hAnsi="Times New Roman"/>
                <w:sz w:val="24"/>
              </w:rPr>
              <w:t>Útmutató</w:t>
            </w:r>
          </w:p>
        </w:tc>
      </w:tr>
      <w:tr w:rsidR="00FB3D09" w:rsidRPr="002A677E" w14:paraId="543ACB4E"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E88DC77" w14:textId="77777777" w:rsidR="00FB3D09" w:rsidRPr="002A677E" w:rsidRDefault="00FB3D09" w:rsidP="00822842">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7E7D6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PD SZÁMTANI ÁTLAGA (%)</w:t>
            </w:r>
          </w:p>
          <w:p w14:paraId="369D866D" w14:textId="77777777" w:rsidR="00FB3D09" w:rsidRPr="002A677E" w:rsidRDefault="00FB3D09" w:rsidP="00822842">
            <w:pPr>
              <w:rPr>
                <w:rFonts w:ascii="Times New Roman" w:hAnsi="Times New Roman"/>
                <w:b/>
                <w:sz w:val="24"/>
              </w:rPr>
            </w:pPr>
            <w:r>
              <w:rPr>
                <w:rFonts w:ascii="Times New Roman" w:hAnsi="Times New Roman"/>
                <w:sz w:val="24"/>
              </w:rPr>
              <w:t>A rögzített PD-sávba tartozó és a 0020-as oszlopban összegzett kötelezettek PD-értékének számtani átlaga az adatszolgáltatási időszak kezdetén (a kötelezettek számával súlyozott átlag).</w:t>
            </w:r>
          </w:p>
        </w:tc>
      </w:tr>
      <w:tr w:rsidR="00FB3D09" w:rsidRPr="002A677E" w14:paraId="2E5C530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E9642A7"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88004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KÖTELEZETTEK SZÁMA AZ ELŐZŐ ÉV VÉGÉN</w:t>
            </w:r>
          </w:p>
          <w:p w14:paraId="1D7F3DCC" w14:textId="77777777" w:rsidR="00FB3D09" w:rsidRPr="002A677E" w:rsidRDefault="00FB3D09" w:rsidP="00822842">
            <w:pPr>
              <w:rPr>
                <w:rFonts w:ascii="Times New Roman" w:hAnsi="Times New Roman"/>
                <w:sz w:val="24"/>
              </w:rPr>
            </w:pPr>
            <w:r>
              <w:rPr>
                <w:rFonts w:ascii="Times New Roman" w:hAnsi="Times New Roman"/>
                <w:sz w:val="24"/>
              </w:rPr>
              <w:t xml:space="preserve">Az adatszolgáltatásban feltüntetendő kötelezettek száma az előző év végén. </w:t>
            </w:r>
          </w:p>
          <w:p w14:paraId="35726FB6" w14:textId="77777777" w:rsidR="00FB3D09" w:rsidRPr="002A677E" w:rsidRDefault="00FB3D09" w:rsidP="00822842">
            <w:pPr>
              <w:rPr>
                <w:rFonts w:ascii="Times New Roman" w:hAnsi="Times New Roman"/>
                <w:sz w:val="24"/>
              </w:rPr>
            </w:pPr>
            <w:r>
              <w:rPr>
                <w:rFonts w:ascii="Times New Roman" w:hAnsi="Times New Roman"/>
                <w:sz w:val="24"/>
              </w:rPr>
              <w:t xml:space="preserve">Minden olyan kötelezettet figyelembe kell venni, aki az adott időpontban hitelkötelezettséget vállalt. </w:t>
            </w:r>
          </w:p>
          <w:p w14:paraId="0234603A" w14:textId="77777777" w:rsidR="00FB3D09" w:rsidRPr="002A677E" w:rsidRDefault="00FB3D09" w:rsidP="00822842">
            <w:pPr>
              <w:rPr>
                <w:rFonts w:ascii="Times New Roman" w:hAnsi="Times New Roman"/>
                <w:sz w:val="24"/>
              </w:rPr>
            </w:pPr>
            <w:r>
              <w:rPr>
                <w:rFonts w:ascii="Times New Roman" w:hAnsi="Times New Roman"/>
                <w:sz w:val="24"/>
              </w:rPr>
              <w:t>A kötelezettek számát a C 08.01. tábla 0300-as oszlopára vonatkozó útmutatónak megfelelően kell számba venni. A közös kötelezetteket ugyanúgy kell kezelni, mint a PD-kalibráció alkalmazásában.</w:t>
            </w:r>
          </w:p>
        </w:tc>
      </w:tr>
      <w:tr w:rsidR="00FB3D09" w:rsidRPr="002A677E" w14:paraId="14CA9E0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6E94793"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E6BA6B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EBBŐL: AZ ÉV SORÁN NEMTELJESÍTŐ</w:t>
            </w:r>
          </w:p>
          <w:p w14:paraId="62E6E1C3"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 xml:space="preserve">Az év (azaz a nemteljesítési arány számításának megfigyelési időszaka) során nemteljesítővé vált kötelezettek száma. </w:t>
            </w:r>
          </w:p>
          <w:p w14:paraId="4E6FF3A5"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 xml:space="preserve">A nemteljesítést az 575/2013/EU rendelet 178. cikkével összhangban kell megállapítani. </w:t>
            </w:r>
          </w:p>
          <w:p w14:paraId="37E2D9CF" w14:textId="77777777" w:rsidR="00FB3D09" w:rsidRPr="002A677E" w:rsidRDefault="00FB3D09" w:rsidP="00822842">
            <w:pPr>
              <w:rPr>
                <w:rFonts w:ascii="Times New Roman" w:hAnsi="Times New Roman"/>
                <w:b/>
                <w:sz w:val="24"/>
                <w:u w:val="single"/>
              </w:rPr>
            </w:pPr>
            <w:r>
              <w:rPr>
                <w:rFonts w:ascii="Times New Roman" w:hAnsi="Times New Roman"/>
                <w:sz w:val="24"/>
              </w:rPr>
              <w:t>Minden egyes nemteljesítő kötelezettet csak egyszer kell figyelembe venni az egyéves nemteljesítési arány számításának számlálójában és nevezőjében, még akkor is, ha a kötelezett a vonatkozó egyéves időszak alatt egynél többször vált nemteljesítővé.</w:t>
            </w:r>
          </w:p>
        </w:tc>
      </w:tr>
      <w:tr w:rsidR="00FB3D09" w:rsidRPr="002A677E" w14:paraId="5FAAFE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1C9B54"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07FAED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MEGFIGYELT ÁTLAGOS NEMTELJESÍTÉSI ARÁNY (%)</w:t>
            </w:r>
          </w:p>
          <w:p w14:paraId="2D64742F"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Az 575/2013/EU rendelet 4. cikke (1) bekezdésének 78. pontjában említett egyéves nemteljesítési arány.</w:t>
            </w:r>
          </w:p>
          <w:p w14:paraId="01C9FA62"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Az intézmények biztosítják, hogy:</w:t>
            </w:r>
          </w:p>
          <w:p w14:paraId="3C9723C5"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a) a nevező az egyéves megfigyelési időszak kezdetén (azaz az adatszolgáltatási vonatkozási időpontot megelőző év elején) bármely hitelkötelezettséggel rendelkező teljesítő kötelezettek számából áll; ebben az összefüggésben a hitelkötelezettség a következők mindegyikére vonatkozik: i. bármely mérlegen belüli tétel, beleértve a tőkeösszeget, a kamatot és a díjakat; ii. bármely mérlegen kívüli tétel, beleértve az intézmény mint garantőr által kibocsátott garanciákat;</w:t>
            </w:r>
          </w:p>
          <w:p w14:paraId="0D440FD1" w14:textId="77777777" w:rsidR="00FB3D09" w:rsidRPr="002A677E" w:rsidRDefault="00FB3D09" w:rsidP="00822842">
            <w:pPr>
              <w:rPr>
                <w:rFonts w:ascii="Times New Roman" w:hAnsi="Times New Roman"/>
                <w:sz w:val="24"/>
              </w:rPr>
            </w:pPr>
            <w:r>
              <w:rPr>
                <w:rFonts w:ascii="Times New Roman" w:hAnsi="Times New Roman"/>
                <w:sz w:val="24"/>
              </w:rPr>
              <w:t>b) a számláló magában foglal minden olyan, a nevezőben figyelembe vett kötelezettet, amelynek az egyéves megfigyelési időszakban (az adatszolgáltatási vonatkozási időpontot megelőző évben) legalább egy nemteljesítési eseménye volt.</w:t>
            </w:r>
          </w:p>
          <w:p w14:paraId="071F87D7" w14:textId="77777777" w:rsidR="00FB3D09" w:rsidRPr="002A677E" w:rsidRDefault="00FB3D09" w:rsidP="00822842">
            <w:pPr>
              <w:rPr>
                <w:rFonts w:ascii="Times New Roman" w:hAnsi="Times New Roman"/>
                <w:sz w:val="24"/>
              </w:rPr>
            </w:pPr>
            <w:r>
              <w:rPr>
                <w:rFonts w:ascii="Times New Roman" w:hAnsi="Times New Roman"/>
                <w:sz w:val="24"/>
              </w:rPr>
              <w:lastRenderedPageBreak/>
              <w:t>A kötelezettek számának kiszámításával kapcsolatban lásd a C 08.01. tábla 0300. oszlopát.</w:t>
            </w:r>
          </w:p>
        </w:tc>
      </w:tr>
      <w:tr w:rsidR="00FB3D09" w:rsidRPr="002A677E" w14:paraId="5135E71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DF05639" w14:textId="77777777" w:rsidR="00FB3D09" w:rsidRPr="002A677E" w:rsidRDefault="00FB3D09" w:rsidP="00822842">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289762" w14:textId="77777777" w:rsidR="00FB3D09" w:rsidRPr="002A677E" w:rsidRDefault="00FB3D09" w:rsidP="00822842">
            <w:pPr>
              <w:rPr>
                <w:rFonts w:ascii="Times New Roman" w:hAnsi="Times New Roman"/>
                <w:sz w:val="24"/>
                <w:u w:val="single"/>
              </w:rPr>
            </w:pPr>
            <w:r>
              <w:rPr>
                <w:rFonts w:ascii="Times New Roman" w:hAnsi="Times New Roman"/>
                <w:b/>
                <w:sz w:val="24"/>
                <w:u w:val="single"/>
              </w:rPr>
              <w:t>ÁTLAGOS MÚLTBELI ÉVES NEMTELJESÍTÉSI ARÁNY (%)</w:t>
            </w:r>
          </w:p>
          <w:p w14:paraId="584459CD" w14:textId="77777777" w:rsidR="00FB3D09" w:rsidRPr="002A677E" w:rsidRDefault="00FB3D09" w:rsidP="00822842">
            <w:pPr>
              <w:rPr>
                <w:rFonts w:ascii="Times New Roman" w:hAnsi="Times New Roman"/>
                <w:sz w:val="24"/>
              </w:rPr>
            </w:pPr>
            <w:r>
              <w:rPr>
                <w:rFonts w:ascii="Times New Roman" w:hAnsi="Times New Roman"/>
                <w:sz w:val="24"/>
              </w:rPr>
              <w:t>Legalább a legutóbbi öt év éves nemteljesítési arányának egyszerű átlaga (az adott évben nemteljesítő kötelezettek száma minden év elején/az év elején meglévő összes kötelezett). Az intézmény figyelembe vehet olyan hosszabb időszakot is, amely összhangban van tényleges kockázatkezelési gyakorlatával.</w:t>
            </w:r>
          </w:p>
        </w:tc>
      </w:tr>
    </w:tbl>
    <w:p w14:paraId="1BEF1A20" w14:textId="77777777" w:rsidR="00FB3D09" w:rsidRPr="002A677E" w:rsidRDefault="00FB3D09" w:rsidP="00FB3D09">
      <w:pPr>
        <w:pStyle w:val="InstructionsText2"/>
        <w:numPr>
          <w:ilvl w:val="0"/>
          <w:numId w:val="0"/>
        </w:numPr>
        <w:ind w:left="99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FB3D09" w:rsidRPr="002A677E" w14:paraId="1B84D0E8" w14:textId="77777777" w:rsidTr="00822842">
        <w:tc>
          <w:tcPr>
            <w:tcW w:w="1271" w:type="dxa"/>
            <w:shd w:val="clear" w:color="auto" w:fill="auto"/>
          </w:tcPr>
          <w:p w14:paraId="3EC9FD04" w14:textId="77777777" w:rsidR="00FB3D09" w:rsidRPr="002A677E" w:rsidRDefault="00FB3D09" w:rsidP="00822842">
            <w:pPr>
              <w:rPr>
                <w:rFonts w:ascii="Times New Roman" w:hAnsi="Times New Roman"/>
                <w:sz w:val="24"/>
              </w:rPr>
            </w:pPr>
            <w:r>
              <w:rPr>
                <w:rFonts w:ascii="Times New Roman" w:hAnsi="Times New Roman"/>
                <w:sz w:val="24"/>
              </w:rPr>
              <w:t>Sorok</w:t>
            </w:r>
          </w:p>
        </w:tc>
        <w:tc>
          <w:tcPr>
            <w:tcW w:w="8557" w:type="dxa"/>
            <w:shd w:val="clear" w:color="auto" w:fill="auto"/>
          </w:tcPr>
          <w:p w14:paraId="65FC4F8D" w14:textId="77777777" w:rsidR="00FB3D09" w:rsidRPr="002A677E" w:rsidRDefault="00FB3D09" w:rsidP="00822842">
            <w:pPr>
              <w:rPr>
                <w:rFonts w:ascii="Times New Roman" w:hAnsi="Times New Roman"/>
                <w:sz w:val="24"/>
              </w:rPr>
            </w:pPr>
            <w:r>
              <w:rPr>
                <w:rFonts w:ascii="Times New Roman" w:hAnsi="Times New Roman"/>
                <w:sz w:val="24"/>
              </w:rPr>
              <w:t>Útmutató</w:t>
            </w:r>
          </w:p>
        </w:tc>
      </w:tr>
      <w:tr w:rsidR="00FB3D09" w:rsidRPr="002A677E" w14:paraId="3C8ED033" w14:textId="77777777" w:rsidTr="00822842">
        <w:tc>
          <w:tcPr>
            <w:tcW w:w="1271" w:type="dxa"/>
          </w:tcPr>
          <w:p w14:paraId="514F1159" w14:textId="77777777" w:rsidR="00FB3D09" w:rsidRPr="002A677E" w:rsidRDefault="00FB3D09" w:rsidP="00822842">
            <w:pPr>
              <w:rPr>
                <w:rFonts w:ascii="Times New Roman" w:hAnsi="Times New Roman"/>
                <w:sz w:val="24"/>
              </w:rPr>
            </w:pPr>
            <w:r>
              <w:rPr>
                <w:rFonts w:ascii="Times New Roman" w:hAnsi="Times New Roman"/>
                <w:sz w:val="24"/>
              </w:rPr>
              <w:t>PD-SÁV</w:t>
            </w:r>
          </w:p>
        </w:tc>
        <w:tc>
          <w:tcPr>
            <w:tcW w:w="8557" w:type="dxa"/>
          </w:tcPr>
          <w:p w14:paraId="61595E98" w14:textId="56A50A6C" w:rsidR="00FB3D09" w:rsidRPr="002A677E" w:rsidRDefault="00FB3D09" w:rsidP="00822842">
            <w:pPr>
              <w:rPr>
                <w:rFonts w:ascii="Times New Roman" w:hAnsi="Times New Roman"/>
                <w:sz w:val="24"/>
              </w:rPr>
            </w:pPr>
            <w:r>
              <w:rPr>
                <w:rFonts w:ascii="Times New Roman" w:hAnsi="Times New Roman"/>
                <w:sz w:val="24"/>
              </w:rPr>
              <w:t>A kitettségeket a rögzített PD-sáv megfelelő kategóriájához kell rendelni az ebbe a kitettségi osztályba sorolt egyes kötelezettek adatszolgáltatási időszak elején becsült PD-értéke alapján (a hitelkockázat-mérséklésből eredő helyettesítési hatások figyelembevételével). Az intézményeknek minden kitettséget egyenként kell a táblában megadott PD-sávhoz hozzárendelniük, figyelembe véve a folyamatos skálaértékeket is. Valamennyi nemteljesítő kitettséget a 100 %-os PD-t képviselő kategóriának kell tartalmaznia.</w:t>
            </w:r>
          </w:p>
        </w:tc>
      </w:tr>
    </w:tbl>
    <w:p w14:paraId="4DD60C58"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21" w:name="_Toc19715764"/>
      <w:bookmarkStart w:id="122" w:name="_Toc151714408"/>
      <w:r>
        <w:rPr>
          <w:rFonts w:ascii="Times New Roman" w:hAnsi="Times New Roman"/>
          <w:sz w:val="24"/>
        </w:rPr>
        <w:t>C 08.05.1 – Hitelkockázat és nyitva szállítások: IRB módszer szerinti tőkekövetelmény: A PD utótesztelése – Az 575/2013/EU rendelet 180. cikke (1) bekezdése f) pontjának megfelelően (CR IRB 5B)</w:t>
      </w:r>
      <w:bookmarkEnd w:id="121"/>
      <w:bookmarkEnd w:id="122"/>
    </w:p>
    <w:p w14:paraId="27A46150"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23" w:name="_Toc19715765"/>
      <w:bookmarkStart w:id="124" w:name="_Toc151714409"/>
      <w:r>
        <w:rPr>
          <w:rFonts w:ascii="Times New Roman" w:hAnsi="Times New Roman"/>
          <w:sz w:val="24"/>
        </w:rPr>
        <w:t>A tábla egyes részeire vonatkozó útmutató</w:t>
      </w:r>
      <w:bookmarkEnd w:id="123"/>
      <w:bookmarkEnd w:id="124"/>
    </w:p>
    <w:p w14:paraId="68360FA1"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81</w:t>
      </w:r>
      <w:r>
        <w:fldChar w:fldCharType="end"/>
      </w:r>
      <w:r>
        <w:t>. A C 08.05. táblán túlmenően az intézményeknek a C 08.05.1. táblában szereplő információkat is meg kell adniuk, amennyiben a PD-becslésre az 575/2013/EU rendelet 180. cikke (1) bekezdésének f) pontját alkalmazzák. Csak az e cikk szerinti PD-becslésekre kell információt szolgáltatni. A kitöltési útmutató megegyezik a C 08.05 táblához tartozókkal, a következő kivételekkel:</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1E2F3B8E" w14:textId="77777777" w:rsidTr="00822842">
        <w:tc>
          <w:tcPr>
            <w:tcW w:w="1188" w:type="dxa"/>
            <w:shd w:val="clear" w:color="auto" w:fill="CCCCCC"/>
          </w:tcPr>
          <w:p w14:paraId="7D027DF5" w14:textId="77777777" w:rsidR="00FB3D09" w:rsidRPr="002A677E" w:rsidRDefault="00FB3D09" w:rsidP="00822842">
            <w:pPr>
              <w:rPr>
                <w:rFonts w:ascii="Times New Roman" w:hAnsi="Times New Roman"/>
                <w:sz w:val="24"/>
              </w:rPr>
            </w:pPr>
            <w:r>
              <w:rPr>
                <w:rFonts w:ascii="Times New Roman" w:hAnsi="Times New Roman"/>
                <w:sz w:val="24"/>
              </w:rPr>
              <w:t>Oszlopok</w:t>
            </w:r>
          </w:p>
        </w:tc>
        <w:tc>
          <w:tcPr>
            <w:tcW w:w="8843" w:type="dxa"/>
            <w:shd w:val="clear" w:color="auto" w:fill="CCCCCC"/>
          </w:tcPr>
          <w:p w14:paraId="63A7247A" w14:textId="77777777" w:rsidR="00FB3D09" w:rsidRPr="002A677E" w:rsidRDefault="00FB3D09" w:rsidP="00822842">
            <w:pPr>
              <w:rPr>
                <w:rFonts w:ascii="Times New Roman" w:hAnsi="Times New Roman"/>
                <w:sz w:val="24"/>
              </w:rPr>
            </w:pPr>
            <w:r>
              <w:rPr>
                <w:rFonts w:ascii="Times New Roman" w:hAnsi="Times New Roman"/>
                <w:sz w:val="24"/>
              </w:rPr>
              <w:t>Útmutató</w:t>
            </w:r>
          </w:p>
        </w:tc>
      </w:tr>
      <w:tr w:rsidR="00FB3D09" w:rsidRPr="002A677E" w14:paraId="528697BD" w14:textId="77777777" w:rsidTr="00822842">
        <w:tc>
          <w:tcPr>
            <w:tcW w:w="1188" w:type="dxa"/>
            <w:shd w:val="clear" w:color="auto" w:fill="auto"/>
          </w:tcPr>
          <w:p w14:paraId="150C8B42" w14:textId="77777777" w:rsidR="00FB3D09" w:rsidRPr="002A677E" w:rsidRDefault="00FB3D09" w:rsidP="00822842">
            <w:pPr>
              <w:rPr>
                <w:rFonts w:ascii="Times New Roman" w:hAnsi="Times New Roman"/>
                <w:sz w:val="24"/>
              </w:rPr>
            </w:pPr>
            <w:r>
              <w:rPr>
                <w:rFonts w:ascii="Times New Roman" w:hAnsi="Times New Roman"/>
                <w:sz w:val="24"/>
              </w:rPr>
              <w:t>0005</w:t>
            </w:r>
          </w:p>
        </w:tc>
        <w:tc>
          <w:tcPr>
            <w:tcW w:w="8843" w:type="dxa"/>
            <w:shd w:val="clear" w:color="auto" w:fill="auto"/>
          </w:tcPr>
          <w:p w14:paraId="1D47203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PD-SÁV</w:t>
            </w:r>
          </w:p>
          <w:p w14:paraId="4CAAE100" w14:textId="77777777" w:rsidR="00FB3D09" w:rsidRPr="002A677E" w:rsidRDefault="00FB3D09" w:rsidP="00822842">
            <w:pPr>
              <w:rPr>
                <w:rFonts w:ascii="Times New Roman" w:hAnsi="Times New Roman"/>
                <w:sz w:val="24"/>
              </w:rPr>
            </w:pPr>
            <w:r>
              <w:rPr>
                <w:rFonts w:ascii="Times New Roman" w:hAnsi="Times New Roman"/>
                <w:sz w:val="24"/>
              </w:rPr>
              <w:t>Az intézményeknek a rögzített külső PD-sáv helyett a belső besorolásuknak megfelelően kell megadniuk a PD-sávokat, amelyeket hozzárendelnek a külső hitelminősítő intézmény által használt skálához.</w:t>
            </w:r>
          </w:p>
        </w:tc>
      </w:tr>
      <w:tr w:rsidR="00FB3D09" w:rsidRPr="002A677E" w14:paraId="64D00DA7" w14:textId="77777777" w:rsidTr="00822842">
        <w:tc>
          <w:tcPr>
            <w:tcW w:w="1188" w:type="dxa"/>
            <w:shd w:val="clear" w:color="auto" w:fill="auto"/>
          </w:tcPr>
          <w:p w14:paraId="1078063B" w14:textId="77777777" w:rsidR="00FB3D09" w:rsidRPr="002A677E" w:rsidRDefault="00FB3D09" w:rsidP="00822842">
            <w:pPr>
              <w:rPr>
                <w:rFonts w:ascii="Times New Roman" w:hAnsi="Times New Roman"/>
                <w:sz w:val="24"/>
              </w:rPr>
            </w:pPr>
            <w:r>
              <w:rPr>
                <w:rFonts w:ascii="Times New Roman" w:hAnsi="Times New Roman"/>
                <w:sz w:val="24"/>
              </w:rPr>
              <w:t>0006</w:t>
            </w:r>
          </w:p>
        </w:tc>
        <w:tc>
          <w:tcPr>
            <w:tcW w:w="8843" w:type="dxa"/>
            <w:shd w:val="clear" w:color="auto" w:fill="auto"/>
          </w:tcPr>
          <w:p w14:paraId="6793AD5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KÜLSŐ MINŐSÍTÉSBEN SZEREPLŐ MEGFELELŐ ÉRTÉK</w:t>
            </w:r>
          </w:p>
          <w:p w14:paraId="276EE83C" w14:textId="77777777" w:rsidR="00FB3D09" w:rsidRPr="002A677E" w:rsidRDefault="00FB3D09" w:rsidP="00822842">
            <w:pPr>
              <w:rPr>
                <w:rFonts w:ascii="Times New Roman" w:hAnsi="Times New Roman"/>
                <w:sz w:val="24"/>
              </w:rPr>
            </w:pPr>
            <w:r>
              <w:rPr>
                <w:rFonts w:ascii="Times New Roman" w:hAnsi="Times New Roman"/>
                <w:sz w:val="24"/>
              </w:rPr>
              <w:t>Az intézményeknek az 575/2013/EU rendelet 180. cikke (1) bekezdésének f) pontja szerint figyelembe vett külső hitelminősítő intézmények mindegyikére vonatkozóan egy-egy oszlopot kell megadniuk. Az intézményeknek ezekben az oszlopokban fel kell tüntetniük azt a külső minősítést, amelyhez a belső PD-sávjaikat hozzárendelték.</w:t>
            </w:r>
          </w:p>
        </w:tc>
      </w:tr>
    </w:tbl>
    <w:p w14:paraId="1CA8A0ED"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25" w:name="_Toc19715766"/>
      <w:bookmarkStart w:id="126" w:name="_Toc151714410"/>
      <w:r>
        <w:rPr>
          <w:rFonts w:ascii="Times New Roman" w:hAnsi="Times New Roman"/>
          <w:sz w:val="24"/>
        </w:rPr>
        <w:lastRenderedPageBreak/>
        <w:t>C 08.06 – Hitelkockázat és nyitva szállítások: IRB módszer szerinti tőkekövetelmény: slotting módszer szerinti speciális hitelezési kitettségek (CR IRB 6)</w:t>
      </w:r>
      <w:bookmarkEnd w:id="125"/>
      <w:bookmarkEnd w:id="126"/>
    </w:p>
    <w:p w14:paraId="0C327519"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27" w:name="_Toc19715767"/>
      <w:bookmarkStart w:id="128" w:name="_Toc151714411"/>
      <w:r>
        <w:rPr>
          <w:rFonts w:ascii="Times New Roman" w:hAnsi="Times New Roman"/>
          <w:sz w:val="24"/>
        </w:rPr>
        <w:t>Általános megjegyzések</w:t>
      </w:r>
      <w:bookmarkEnd w:id="127"/>
      <w:bookmarkEnd w:id="128"/>
    </w:p>
    <w:p w14:paraId="06C30120"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82</w:t>
      </w:r>
      <w:r>
        <w:fldChar w:fldCharType="end"/>
      </w:r>
      <w:r>
        <w:t>. Az intézményeknek az ebben a táblában szereplő információkat az 575/2013/EU rendelet 438. cikke e) pontjának alkalmazásában kell megadniuk. Az intézményeknek a 153. cikk (5) bekezdésének 1. táblázatában említett speciális hitelezési kitettségek következő típusairól kell adatot szolgáltatniuk:</w:t>
      </w:r>
    </w:p>
    <w:p w14:paraId="020ECF38" w14:textId="77777777" w:rsidR="00FB3D09" w:rsidRPr="002A677E" w:rsidRDefault="00FB3D09" w:rsidP="00FB3D09">
      <w:pPr>
        <w:pStyle w:val="InstructionsText2"/>
        <w:numPr>
          <w:ilvl w:val="0"/>
          <w:numId w:val="0"/>
        </w:numPr>
        <w:ind w:left="1080"/>
      </w:pPr>
      <w:r>
        <w:t>Projektfinanszírozás</w:t>
      </w:r>
    </w:p>
    <w:p w14:paraId="0D30395D" w14:textId="77777777" w:rsidR="00FB3D09" w:rsidRPr="002A677E" w:rsidRDefault="00FB3D09" w:rsidP="00FB3D09">
      <w:pPr>
        <w:pStyle w:val="InstructionsText2"/>
        <w:numPr>
          <w:ilvl w:val="0"/>
          <w:numId w:val="0"/>
        </w:numPr>
        <w:ind w:left="1080"/>
      </w:pPr>
      <w:r>
        <w:t>Jövedelemtermelő ingatlanok és magas volatilitású kereskedelmi ingatlanok</w:t>
      </w:r>
    </w:p>
    <w:p w14:paraId="0E156A19" w14:textId="77777777" w:rsidR="00FB3D09" w:rsidRPr="002A677E" w:rsidRDefault="00FB3D09" w:rsidP="00FB3D09">
      <w:pPr>
        <w:pStyle w:val="InstructionsText2"/>
        <w:numPr>
          <w:ilvl w:val="0"/>
          <w:numId w:val="0"/>
        </w:numPr>
        <w:ind w:left="1080"/>
      </w:pPr>
      <w:r>
        <w:t>Tárgyieszköz-finanszírozás</w:t>
      </w:r>
    </w:p>
    <w:p w14:paraId="66940C39" w14:textId="77777777" w:rsidR="00FB3D09" w:rsidRPr="002A677E" w:rsidRDefault="00FB3D09" w:rsidP="00FB3D09">
      <w:pPr>
        <w:pStyle w:val="InstructionsText2"/>
        <w:numPr>
          <w:ilvl w:val="1"/>
          <w:numId w:val="15"/>
        </w:numPr>
      </w:pPr>
      <w:r>
        <w:t>Árufinanszírozás</w:t>
      </w:r>
    </w:p>
    <w:p w14:paraId="58A5DEC7"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29" w:name="_Toc19715768"/>
      <w:bookmarkStart w:id="130" w:name="_Toc151714412"/>
      <w:r>
        <w:rPr>
          <w:rFonts w:ascii="Times New Roman" w:hAnsi="Times New Roman"/>
          <w:sz w:val="24"/>
        </w:rPr>
        <w:t>A tábla egyes részeire vonatkozó útmutató</w:t>
      </w:r>
      <w:bookmarkEnd w:id="129"/>
      <w:bookmarkEnd w:id="13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7D26FD2B" w14:textId="77777777" w:rsidTr="00822842">
        <w:tc>
          <w:tcPr>
            <w:tcW w:w="1188" w:type="dxa"/>
            <w:shd w:val="clear" w:color="auto" w:fill="CCCCCC"/>
          </w:tcPr>
          <w:p w14:paraId="6E606862" w14:textId="77777777" w:rsidR="00FB3D09" w:rsidRPr="002A677E" w:rsidRDefault="00FB3D09" w:rsidP="00822842">
            <w:pPr>
              <w:rPr>
                <w:rFonts w:ascii="Times New Roman" w:hAnsi="Times New Roman"/>
                <w:sz w:val="24"/>
              </w:rPr>
            </w:pPr>
            <w:r>
              <w:rPr>
                <w:rFonts w:ascii="Times New Roman" w:hAnsi="Times New Roman"/>
                <w:sz w:val="24"/>
              </w:rPr>
              <w:t>Oszlopok</w:t>
            </w:r>
          </w:p>
        </w:tc>
        <w:tc>
          <w:tcPr>
            <w:tcW w:w="8843" w:type="dxa"/>
            <w:shd w:val="clear" w:color="auto" w:fill="CCCCCC"/>
          </w:tcPr>
          <w:p w14:paraId="03916D9E" w14:textId="77777777" w:rsidR="00FB3D09" w:rsidRPr="002A677E" w:rsidRDefault="00FB3D09" w:rsidP="00822842">
            <w:pPr>
              <w:rPr>
                <w:rFonts w:ascii="Times New Roman" w:hAnsi="Times New Roman"/>
                <w:sz w:val="24"/>
              </w:rPr>
            </w:pPr>
            <w:r>
              <w:rPr>
                <w:rFonts w:ascii="Times New Roman" w:hAnsi="Times New Roman"/>
                <w:sz w:val="24"/>
              </w:rPr>
              <w:t>Útmutató</w:t>
            </w:r>
          </w:p>
        </w:tc>
      </w:tr>
      <w:tr w:rsidR="00FB3D09" w:rsidRPr="002A677E" w14:paraId="27E1469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BCB525B"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223511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HITEL-EGYENÉRTÉKESÍTÉSI TÉNYEZŐK ELŐTTI EREDETI KITETTSÉG</w:t>
            </w:r>
          </w:p>
          <w:p w14:paraId="3FEAA5A3" w14:textId="77777777" w:rsidR="00FB3D09" w:rsidRPr="002A677E" w:rsidRDefault="00FB3D09" w:rsidP="00822842">
            <w:pPr>
              <w:rPr>
                <w:rFonts w:ascii="Times New Roman" w:hAnsi="Times New Roman"/>
                <w:sz w:val="24"/>
              </w:rPr>
            </w:pPr>
            <w:r>
              <w:rPr>
                <w:rFonts w:ascii="Times New Roman" w:hAnsi="Times New Roman"/>
                <w:sz w:val="24"/>
              </w:rPr>
              <w:t>Lásd a CR IRB táblához tartozó útmutatót.</w:t>
            </w:r>
          </w:p>
        </w:tc>
      </w:tr>
      <w:tr w:rsidR="00FB3D09" w:rsidRPr="002A677E" w14:paraId="2B63E9B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85DE9AC"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DA24A8"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HELYETTESÍTÉSI HATÁSSAL JÁRÓ CRM-TECHNIKÁK UTÁNI, A HITEL-EGYENÉRTÉKESÍTÉSI TÉNYEZŐK ELŐTTI KITETTSÉG</w:t>
            </w:r>
          </w:p>
          <w:p w14:paraId="6CBD0B35" w14:textId="77777777" w:rsidR="00FB3D09" w:rsidRPr="002A677E" w:rsidRDefault="00FB3D09" w:rsidP="00822842">
            <w:pPr>
              <w:rPr>
                <w:rFonts w:ascii="Times New Roman" w:hAnsi="Times New Roman"/>
                <w:sz w:val="24"/>
              </w:rPr>
            </w:pPr>
            <w:r>
              <w:rPr>
                <w:rFonts w:ascii="Times New Roman" w:hAnsi="Times New Roman"/>
                <w:sz w:val="24"/>
              </w:rPr>
              <w:t>Lásd a CR IRB táblához tartozó útmutatót.</w:t>
            </w:r>
          </w:p>
        </w:tc>
      </w:tr>
      <w:tr w:rsidR="00FB3D09" w:rsidRPr="002A677E" w14:paraId="328B4A3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309D5E4" w14:textId="77777777" w:rsidR="00FB3D09" w:rsidRPr="002A677E" w:rsidRDefault="00FB3D09" w:rsidP="00822842">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5F5F73" w14:textId="77777777" w:rsidR="00FB3D09" w:rsidRPr="002A677E" w:rsidRDefault="00FB3D09" w:rsidP="00822842">
            <w:pPr>
              <w:rPr>
                <w:rStyle w:val="InstructionsTabelleberschrift"/>
                <w:rFonts w:ascii="Times New Roman" w:hAnsi="Times New Roman"/>
                <w:bCs w:val="0"/>
                <w:sz w:val="24"/>
              </w:rPr>
            </w:pPr>
            <w:r>
              <w:rPr>
                <w:rStyle w:val="InstructionsTabelleberschrift"/>
                <w:rFonts w:ascii="Times New Roman" w:hAnsi="Times New Roman"/>
                <w:sz w:val="24"/>
              </w:rPr>
              <w:t xml:space="preserve">EBBŐL: MÉRLEGEN KÍVÜLI TÉTELEK </w:t>
            </w:r>
          </w:p>
          <w:p w14:paraId="34DD8D87" w14:textId="77777777" w:rsidR="00FB3D09" w:rsidRPr="002A677E" w:rsidRDefault="00FB3D09" w:rsidP="00822842">
            <w:pPr>
              <w:rPr>
                <w:rFonts w:ascii="Times New Roman" w:hAnsi="Times New Roman"/>
                <w:sz w:val="24"/>
              </w:rPr>
            </w:pPr>
            <w:r>
              <w:rPr>
                <w:rFonts w:ascii="Times New Roman" w:hAnsi="Times New Roman"/>
                <w:sz w:val="24"/>
              </w:rPr>
              <w:t>Lásd a CR SA táblához tartozó útmutatót.</w:t>
            </w:r>
          </w:p>
        </w:tc>
      </w:tr>
      <w:tr w:rsidR="00FB3D09" w:rsidRPr="002A677E" w14:paraId="08DB9921"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4AACF1D"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7D848A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KITETTSÉGÉRTÉK</w:t>
            </w:r>
          </w:p>
          <w:p w14:paraId="4F68F714" w14:textId="77777777" w:rsidR="00FB3D09" w:rsidRPr="002A677E" w:rsidRDefault="00FB3D09" w:rsidP="00822842">
            <w:pPr>
              <w:rPr>
                <w:rFonts w:ascii="Times New Roman" w:hAnsi="Times New Roman"/>
                <w:sz w:val="24"/>
              </w:rPr>
            </w:pPr>
            <w:r>
              <w:rPr>
                <w:rFonts w:ascii="Times New Roman" w:hAnsi="Times New Roman"/>
                <w:sz w:val="24"/>
              </w:rPr>
              <w:t>Lásd a CR IRB táblához tartozó útmutatót.</w:t>
            </w:r>
          </w:p>
        </w:tc>
      </w:tr>
      <w:tr w:rsidR="00FB3D09" w:rsidRPr="002A677E" w14:paraId="0927737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8E38D0"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267BBF" w14:textId="77777777" w:rsidR="00FB3D09" w:rsidRPr="002A677E" w:rsidRDefault="00FB3D09" w:rsidP="00822842">
            <w:pPr>
              <w:rPr>
                <w:rStyle w:val="InstructionsTabelleberschrift"/>
                <w:rFonts w:ascii="Times New Roman" w:hAnsi="Times New Roman"/>
                <w:bCs w:val="0"/>
                <w:sz w:val="24"/>
              </w:rPr>
            </w:pPr>
            <w:r>
              <w:rPr>
                <w:rStyle w:val="InstructionsTabelleberschrift"/>
                <w:rFonts w:ascii="Times New Roman" w:hAnsi="Times New Roman"/>
                <w:sz w:val="24"/>
              </w:rPr>
              <w:t xml:space="preserve">EBBŐL: PARTNERKOCKÁZATBÓL EREDŐ </w:t>
            </w:r>
          </w:p>
          <w:p w14:paraId="416635B7" w14:textId="77777777" w:rsidR="00FB3D09" w:rsidRPr="002A677E" w:rsidRDefault="00FB3D09" w:rsidP="00822842">
            <w:pPr>
              <w:rPr>
                <w:rFonts w:ascii="Times New Roman" w:hAnsi="Times New Roman"/>
                <w:sz w:val="24"/>
              </w:rPr>
            </w:pPr>
            <w:r>
              <w:rPr>
                <w:rFonts w:ascii="Times New Roman" w:hAnsi="Times New Roman"/>
                <w:sz w:val="24"/>
              </w:rPr>
              <w:t>Lásd a CR SA táblához tartozó útmutatót.</w:t>
            </w:r>
            <w:r>
              <w:rPr>
                <w:rStyle w:val="InstructionsTabelleText"/>
                <w:rFonts w:ascii="Times New Roman" w:hAnsi="Times New Roman"/>
                <w:sz w:val="24"/>
              </w:rPr>
              <w:t xml:space="preserve"> </w:t>
            </w:r>
          </w:p>
        </w:tc>
      </w:tr>
      <w:tr w:rsidR="00FB3D09" w:rsidRPr="002A677E" w14:paraId="383531B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98568BB" w14:textId="77777777" w:rsidR="00FB3D09" w:rsidRPr="002A677E" w:rsidRDefault="00FB3D09" w:rsidP="00822842">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0FB93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KOCKÁZATI SÚLY:</w:t>
            </w:r>
          </w:p>
          <w:p w14:paraId="5C41EA78" w14:textId="77777777" w:rsidR="00FB3D09" w:rsidRPr="002A677E" w:rsidRDefault="00FB3D09" w:rsidP="00822842">
            <w:pPr>
              <w:rPr>
                <w:rFonts w:ascii="Times New Roman" w:hAnsi="Times New Roman"/>
                <w:sz w:val="24"/>
              </w:rPr>
            </w:pPr>
            <w:r>
              <w:rPr>
                <w:rFonts w:ascii="Times New Roman" w:hAnsi="Times New Roman"/>
                <w:sz w:val="24"/>
              </w:rPr>
              <w:t>Az 575/2013/EU rendelet 153. cikkének (5) bekezdése.</w:t>
            </w:r>
          </w:p>
          <w:p w14:paraId="67CCD5DB" w14:textId="77777777" w:rsidR="00FB3D09" w:rsidRPr="002A677E" w:rsidRDefault="00FB3D09" w:rsidP="00822842">
            <w:pPr>
              <w:rPr>
                <w:rFonts w:ascii="Times New Roman" w:hAnsi="Times New Roman"/>
                <w:sz w:val="24"/>
              </w:rPr>
            </w:pPr>
            <w:r>
              <w:rPr>
                <w:rFonts w:ascii="Times New Roman" w:hAnsi="Times New Roman"/>
                <w:sz w:val="24"/>
              </w:rPr>
              <w:t xml:space="preserve">Ez egy információs célú, rögzített oszlop. Tartalma nem változtatható meg. </w:t>
            </w:r>
          </w:p>
        </w:tc>
      </w:tr>
      <w:tr w:rsidR="00FB3D09" w:rsidRPr="002A677E" w14:paraId="10464D9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C0F652" w14:textId="77777777" w:rsidR="00FB3D09" w:rsidRPr="002A677E" w:rsidRDefault="00FB3D09" w:rsidP="00822842">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B6948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A SZORZÓK UTÁNI, KOCKÁZATTAL SÚLYOZOTT KITETTSÉGÉRTÉK</w:t>
            </w:r>
          </w:p>
          <w:p w14:paraId="4B6C2EA5" w14:textId="77777777" w:rsidR="00FB3D09" w:rsidRPr="002A677E" w:rsidRDefault="00FB3D09" w:rsidP="00822842">
            <w:pPr>
              <w:rPr>
                <w:rFonts w:ascii="Times New Roman" w:hAnsi="Times New Roman"/>
                <w:b/>
                <w:sz w:val="24"/>
              </w:rPr>
            </w:pPr>
            <w:r>
              <w:rPr>
                <w:rFonts w:ascii="Times New Roman" w:hAnsi="Times New Roman"/>
                <w:sz w:val="24"/>
              </w:rPr>
              <w:t>Lásd a CR IRB táblához tartozó útmutatót.</w:t>
            </w:r>
          </w:p>
        </w:tc>
      </w:tr>
      <w:tr w:rsidR="00FB3D09" w:rsidRPr="002A677E" w14:paraId="6070EAD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41BE8BB" w14:textId="77777777" w:rsidR="00FB3D09" w:rsidRPr="002A677E" w:rsidRDefault="00FB3D09" w:rsidP="00822842">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DBC3B5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VÁRHATÓ VESZTESÉGÉRTÉK</w:t>
            </w:r>
          </w:p>
          <w:p w14:paraId="693CE6D8" w14:textId="77777777" w:rsidR="00FB3D09" w:rsidRPr="002A677E" w:rsidRDefault="00FB3D09" w:rsidP="00822842">
            <w:pPr>
              <w:rPr>
                <w:rFonts w:ascii="Times New Roman" w:hAnsi="Times New Roman"/>
                <w:b/>
                <w:sz w:val="24"/>
              </w:rPr>
            </w:pPr>
            <w:r>
              <w:rPr>
                <w:rFonts w:ascii="Times New Roman" w:hAnsi="Times New Roman"/>
                <w:sz w:val="24"/>
              </w:rPr>
              <w:t>Lásd a CR IRB táblához tartozó útmutatót.</w:t>
            </w:r>
          </w:p>
        </w:tc>
      </w:tr>
      <w:tr w:rsidR="00FB3D09" w:rsidRPr="002A677E" w14:paraId="382A8A4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EF5742" w14:textId="77777777" w:rsidR="00FB3D09" w:rsidRPr="002A677E" w:rsidRDefault="00FB3D09" w:rsidP="00822842">
            <w:pPr>
              <w:rPr>
                <w:rFonts w:ascii="Times New Roman" w:hAnsi="Times New Roman"/>
                <w:sz w:val="24"/>
              </w:rPr>
            </w:pPr>
            <w:r>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36E8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ÉRTÉKELÉSI KORREKCIÓK ÉS CÉLTARTALÉKOK</w:t>
            </w:r>
          </w:p>
          <w:p w14:paraId="43E4B618" w14:textId="77777777" w:rsidR="00FB3D09" w:rsidRPr="002A677E" w:rsidRDefault="00FB3D09" w:rsidP="00822842">
            <w:pPr>
              <w:rPr>
                <w:rFonts w:ascii="Times New Roman" w:hAnsi="Times New Roman"/>
                <w:b/>
                <w:sz w:val="24"/>
              </w:rPr>
            </w:pPr>
            <w:r>
              <w:rPr>
                <w:rFonts w:ascii="Times New Roman" w:hAnsi="Times New Roman"/>
                <w:sz w:val="24"/>
              </w:rPr>
              <w:t>Lásd a CR IRB táblához tartozó útmutatót.</w:t>
            </w:r>
          </w:p>
        </w:tc>
      </w:tr>
    </w:tbl>
    <w:p w14:paraId="53071A7C" w14:textId="77777777" w:rsidR="00FB3D09" w:rsidRPr="002A677E" w:rsidRDefault="00FB3D09" w:rsidP="00FB3D09">
      <w:pPr>
        <w:pStyle w:val="body"/>
      </w:pPr>
      <w:bookmarkStart w:id="13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FB3D09" w:rsidRPr="002A677E" w14:paraId="2FD73173" w14:textId="77777777" w:rsidTr="00822842">
        <w:tc>
          <w:tcPr>
            <w:tcW w:w="1129" w:type="dxa"/>
            <w:shd w:val="pct25" w:color="auto" w:fill="auto"/>
          </w:tcPr>
          <w:p w14:paraId="528FE156" w14:textId="77777777" w:rsidR="00FB3D09" w:rsidRPr="002A677E" w:rsidRDefault="00FB3D09" w:rsidP="00822842">
            <w:pPr>
              <w:rPr>
                <w:rFonts w:ascii="Times New Roman" w:hAnsi="Times New Roman"/>
                <w:sz w:val="24"/>
              </w:rPr>
            </w:pPr>
            <w:r>
              <w:rPr>
                <w:rFonts w:ascii="Times New Roman" w:hAnsi="Times New Roman"/>
                <w:sz w:val="24"/>
              </w:rPr>
              <w:t>Sorok</w:t>
            </w:r>
          </w:p>
        </w:tc>
        <w:tc>
          <w:tcPr>
            <w:tcW w:w="8931" w:type="dxa"/>
            <w:shd w:val="pct25" w:color="auto" w:fill="auto"/>
          </w:tcPr>
          <w:p w14:paraId="74C4755C" w14:textId="77777777" w:rsidR="00FB3D09" w:rsidRPr="002A677E" w:rsidRDefault="00FB3D09" w:rsidP="00822842">
            <w:pPr>
              <w:rPr>
                <w:rFonts w:ascii="Times New Roman" w:hAnsi="Times New Roman"/>
                <w:sz w:val="24"/>
              </w:rPr>
            </w:pPr>
            <w:r>
              <w:rPr>
                <w:rFonts w:ascii="Times New Roman" w:hAnsi="Times New Roman"/>
                <w:sz w:val="24"/>
              </w:rPr>
              <w:t>Útmutató</w:t>
            </w:r>
          </w:p>
        </w:tc>
      </w:tr>
      <w:tr w:rsidR="00FB3D09" w:rsidRPr="002A677E" w14:paraId="13ABD6A4" w14:textId="77777777" w:rsidTr="00822842">
        <w:tc>
          <w:tcPr>
            <w:tcW w:w="1129" w:type="dxa"/>
          </w:tcPr>
          <w:p w14:paraId="6D90D953" w14:textId="77777777" w:rsidR="00FB3D09" w:rsidRPr="002A677E" w:rsidRDefault="00FB3D09" w:rsidP="00822842">
            <w:pPr>
              <w:rPr>
                <w:rFonts w:ascii="Times New Roman" w:hAnsi="Times New Roman"/>
                <w:sz w:val="24"/>
              </w:rPr>
            </w:pPr>
            <w:r>
              <w:rPr>
                <w:rFonts w:ascii="Times New Roman" w:hAnsi="Times New Roman"/>
                <w:sz w:val="24"/>
              </w:rPr>
              <w:t>0010–0120</w:t>
            </w:r>
          </w:p>
        </w:tc>
        <w:tc>
          <w:tcPr>
            <w:tcW w:w="8931" w:type="dxa"/>
          </w:tcPr>
          <w:p w14:paraId="68EE291B" w14:textId="77777777" w:rsidR="00FB3D09" w:rsidRPr="002A677E" w:rsidRDefault="00FB3D09" w:rsidP="00822842">
            <w:pPr>
              <w:rPr>
                <w:rFonts w:ascii="Times New Roman" w:hAnsi="Times New Roman"/>
                <w:sz w:val="24"/>
              </w:rPr>
            </w:pPr>
            <w:r>
              <w:rPr>
                <w:rFonts w:ascii="Times New Roman" w:hAnsi="Times New Roman"/>
                <w:sz w:val="24"/>
              </w:rPr>
              <w:t>A kitettségeket az 575/2013/EU rendelet 153. cikke (5) bekezdésében található 1. táblázat szerint a megfelelő kategóriába és lejárathoz kell hozzárendelni.</w:t>
            </w:r>
          </w:p>
        </w:tc>
      </w:tr>
    </w:tbl>
    <w:p w14:paraId="4255FF49" w14:textId="77777777" w:rsidR="00FB3D09" w:rsidRPr="002A677E" w:rsidRDefault="00FB3D09" w:rsidP="00FB3D09">
      <w:pPr>
        <w:pStyle w:val="body"/>
      </w:pPr>
    </w:p>
    <w:p w14:paraId="782F65B6"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32" w:name="_Toc151714413"/>
      <w:r>
        <w:rPr>
          <w:rFonts w:ascii="Times New Roman" w:hAnsi="Times New Roman"/>
          <w:sz w:val="24"/>
        </w:rPr>
        <w:t>C 08.07 – Hitelkockázat és nyitva szállítások: IRB módszer szerinti tőkekövetelmény: az IRB módszer és a sztenderd módszer alkalmazási köre (CR IRB 7)</w:t>
      </w:r>
      <w:bookmarkEnd w:id="131"/>
      <w:bookmarkEnd w:id="132"/>
    </w:p>
    <w:p w14:paraId="4D5E0149"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33" w:name="_Toc19715770"/>
      <w:bookmarkStart w:id="134" w:name="_Toc151714414"/>
      <w:r>
        <w:rPr>
          <w:rFonts w:ascii="Times New Roman" w:hAnsi="Times New Roman"/>
          <w:sz w:val="24"/>
        </w:rPr>
        <w:t>Általános megjegyzések</w:t>
      </w:r>
      <w:bookmarkEnd w:id="133"/>
      <w:bookmarkEnd w:id="134"/>
    </w:p>
    <w:p w14:paraId="2A642543"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83</w:t>
      </w:r>
      <w:r>
        <w:fldChar w:fldCharType="end"/>
      </w:r>
      <w:r>
        <w:t>. E tábla alkalmazásában a kockázattal súlyozott kitettségértéket a hitelkockázatra vonatkozó IRB módszer szerint számító intézmények feltüntetik az 575/2013/EU rendelet harmadik része II. címének 2. fejezetében meghatározott sztenderd módszer vagy az említett rendelet harmadik része II. címének 3. fejezetében meghatározott IRB módszer alá tartozó kitettségeiket, valamint az egyes kitettségi osztályoknak a fokozatos bevezetésre vonatkozó ütemezési terv hatálya alá tartozó részét. Az intézményeknek az ebben a táblában szereplő információkat kitettségi osztályok szerint kell megadniuk, a tábla soraiban szereplő kitettségi osztályok szerinti bontásban.</w:t>
      </w:r>
    </w:p>
    <w:p w14:paraId="5EF649B7"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84</w:t>
      </w:r>
      <w:r>
        <w:fldChar w:fldCharType="end"/>
      </w:r>
      <w:r>
        <w:t>. A 0030–0050-es oszlopnak a kitettségek teljes spektrumát le kell fednie, hogy e három oszlop minden egyes sorának összege az összes kitettségi osztály értékpapírosítási pozíciók és levont pozíciók nélkül számított 100 %-a legyen.</w:t>
      </w:r>
    </w:p>
    <w:p w14:paraId="2976CB2C"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35" w:name="_Toc19715771"/>
      <w:bookmarkStart w:id="136" w:name="_Toc151714415"/>
      <w:r>
        <w:rPr>
          <w:rFonts w:ascii="Times New Roman" w:hAnsi="Times New Roman"/>
          <w:sz w:val="24"/>
        </w:rPr>
        <w:t>A tábla egyes részeire vonatkozó útmutató</w:t>
      </w:r>
      <w:bookmarkEnd w:id="135"/>
      <w:bookmarkEnd w:id="13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5A54A3CB" w14:textId="77777777" w:rsidTr="00822842">
        <w:tc>
          <w:tcPr>
            <w:tcW w:w="1188" w:type="dxa"/>
            <w:shd w:val="clear" w:color="auto" w:fill="CCCCCC"/>
          </w:tcPr>
          <w:p w14:paraId="4D5D1AB8" w14:textId="77777777" w:rsidR="00FB3D09" w:rsidRPr="002A677E" w:rsidRDefault="00FB3D09" w:rsidP="00822842">
            <w:pPr>
              <w:rPr>
                <w:rFonts w:ascii="Times New Roman" w:hAnsi="Times New Roman"/>
                <w:sz w:val="24"/>
              </w:rPr>
            </w:pPr>
            <w:r>
              <w:rPr>
                <w:rFonts w:ascii="Times New Roman" w:hAnsi="Times New Roman"/>
                <w:sz w:val="24"/>
              </w:rPr>
              <w:t>Oszlopok</w:t>
            </w:r>
          </w:p>
        </w:tc>
        <w:tc>
          <w:tcPr>
            <w:tcW w:w="8843" w:type="dxa"/>
            <w:shd w:val="clear" w:color="auto" w:fill="CCCCCC"/>
          </w:tcPr>
          <w:p w14:paraId="07D6E67B" w14:textId="77777777" w:rsidR="00FB3D09" w:rsidRPr="002A677E" w:rsidRDefault="00FB3D09" w:rsidP="00822842">
            <w:pPr>
              <w:rPr>
                <w:rFonts w:ascii="Times New Roman" w:hAnsi="Times New Roman"/>
                <w:sz w:val="24"/>
              </w:rPr>
            </w:pPr>
            <w:r>
              <w:rPr>
                <w:rFonts w:ascii="Times New Roman" w:hAnsi="Times New Roman"/>
                <w:sz w:val="24"/>
              </w:rPr>
              <w:t>Útmutató</w:t>
            </w:r>
          </w:p>
        </w:tc>
      </w:tr>
      <w:tr w:rsidR="00FB3D09" w:rsidRPr="002A677E" w14:paraId="1E4DCF5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C1C9BE7"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095E21A"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AZ 575/2013/EU RENDELET 166. CIKKÉBEN MEGHATÁROZOTT TELJES KITETTSÉGÉRTÉK</w:t>
            </w:r>
          </w:p>
          <w:p w14:paraId="411002F2" w14:textId="77777777" w:rsidR="00FB3D09" w:rsidRPr="002A677E" w:rsidRDefault="00FB3D09" w:rsidP="00822842">
            <w:pPr>
              <w:rPr>
                <w:rFonts w:ascii="Times New Roman" w:hAnsi="Times New Roman"/>
                <w:b/>
                <w:sz w:val="24"/>
              </w:rPr>
            </w:pPr>
            <w:r>
              <w:rPr>
                <w:rFonts w:ascii="Times New Roman" w:hAnsi="Times New Roman"/>
                <w:sz w:val="24"/>
              </w:rPr>
              <w:t>Az intézmények az 575/2013/EU rendelet 166. cikke szerint számított, hitelkockázat-mérséklés előtti kitettségértéket tüntetik fel.</w:t>
            </w:r>
          </w:p>
        </w:tc>
      </w:tr>
      <w:tr w:rsidR="00FB3D09" w:rsidRPr="002A677E" w14:paraId="39F1E0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A18E74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6D1CA8"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A SZTENDERD MÓDSZER ÉS AZ IRB MÓDSZER HATÁLYA ALÁ TARTOZÓ TELJES KITETTSÉGÉRTÉK</w:t>
            </w:r>
          </w:p>
          <w:p w14:paraId="2CF123A9" w14:textId="77777777" w:rsidR="00FB3D09" w:rsidRPr="002A677E" w:rsidRDefault="00FB3D09" w:rsidP="00822842">
            <w:pPr>
              <w:rPr>
                <w:rFonts w:ascii="Times New Roman" w:hAnsi="Times New Roman"/>
                <w:sz w:val="24"/>
              </w:rPr>
            </w:pPr>
            <w:r>
              <w:rPr>
                <w:rFonts w:ascii="Times New Roman" w:hAnsi="Times New Roman"/>
                <w:sz w:val="24"/>
              </w:rPr>
              <w:t>Az intézmények az 575/2013/EU rendelet 429. cikkének (4) bekezdése szerinti, a hitelkockázat-mérséklés előtti kitettségértéket használják a teljes kitettségérték meghatározásához, amely tartalmazza mind a sztenderd módszer szerinti kitettségeket, mind az IRB módszer szerinti kitettségeket.</w:t>
            </w:r>
          </w:p>
        </w:tc>
      </w:tr>
      <w:tr w:rsidR="00FB3D09" w:rsidRPr="002A677E" w14:paraId="637EC3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4F292A" w14:textId="77777777" w:rsidR="00FB3D09" w:rsidRPr="002A677E" w:rsidRDefault="00FB3D09" w:rsidP="00822842">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EAD8CB"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TARTÓS MENTESÍTÉS ALAPJÁN A SZTENDERD MÓDSZERREL KEZELT TELJES KITETTSÉGÉRTÉK SZÁZALÉKOS ARÁNYA (%)</w:t>
            </w:r>
          </w:p>
          <w:p w14:paraId="4E8BC7DA" w14:textId="77777777" w:rsidR="00FB3D09" w:rsidRPr="002A677E" w:rsidRDefault="00FB3D09" w:rsidP="00822842">
            <w:pPr>
              <w:rPr>
                <w:rFonts w:ascii="Times New Roman" w:hAnsi="Times New Roman"/>
                <w:sz w:val="24"/>
              </w:rPr>
            </w:pPr>
            <w:r>
              <w:rPr>
                <w:rFonts w:ascii="Times New Roman" w:hAnsi="Times New Roman"/>
                <w:sz w:val="24"/>
              </w:rPr>
              <w:t>Az egyes kitettségi osztályokhoz tartozó kitettségeknek a sztenderd módszer hatálya alá tartozó része (a sztenderd módszer hatálya alá tartozó, hitelkockázat-mérséklés előtti kitettség a 0020-as oszlopban szereplő kitettségi osztály teljes kitettségén belül), figyelembe véve a sztenderd módszer tartós mentesítés alapján történő alkalmazására vonatkozó, az 575/2013/EU rendelet 150. cikkével összhangban az illetékes hatóságtól kapott engedély hatókörét.</w:t>
            </w:r>
          </w:p>
        </w:tc>
      </w:tr>
      <w:tr w:rsidR="00FB3D09" w:rsidRPr="002A677E" w14:paraId="6D7D640C"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11CD0AC"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97E0B5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A FOKOZATOS BEVEZETÉSRE VONATKOZÓ ÜTEMEZÉSI TERV HATÁLYA ALÁ TARTOZÓ TELJES KITETTSÉGÉRTÉK SZÁZALÉKOS ARÁNYA (%)</w:t>
            </w:r>
          </w:p>
          <w:p w14:paraId="1384B1B7" w14:textId="77777777" w:rsidR="00FB3D09" w:rsidRPr="002A677E" w:rsidRDefault="00FB3D09" w:rsidP="00822842">
            <w:pPr>
              <w:rPr>
                <w:rFonts w:ascii="Times New Roman" w:hAnsi="Times New Roman"/>
                <w:sz w:val="24"/>
              </w:rPr>
            </w:pPr>
            <w:r>
              <w:rPr>
                <w:rFonts w:ascii="Times New Roman" w:hAnsi="Times New Roman"/>
                <w:sz w:val="24"/>
              </w:rPr>
              <w:t xml:space="preserve">Az egyes kitettségi osztályokhoz tartozó kitettségeknek az 575/2013/EU rendelet 148. cikke szerinti, az IRB módszer fokozatos bevezetésének hatálya alá tartozó része. Ezek közé tartoznak a következők: </w:t>
            </w:r>
          </w:p>
          <w:p w14:paraId="64A26F0D"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 xml:space="preserve">azon kitettségek, ahol az intézmények az IRB módszer alkalmazását tervezik az LGD és/vagy a hitel-egyenértékesítési tényezők saját becslésével vagy anélkül (F-IRB és A-IRB); </w:t>
            </w:r>
          </w:p>
          <w:p w14:paraId="468B410E"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a 0020-as vagy 0040-es oszlopban nem szereplő immateriális részvénykitettségek;</w:t>
            </w:r>
          </w:p>
          <w:p w14:paraId="674B8F2C"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 xml:space="preserve">az F-IRB hatálya alá tartozó azon kitettségek, amelyek esetében az intézmény a jövőben A-IRB alkalmazását tervezi; </w:t>
            </w:r>
          </w:p>
          <w:p w14:paraId="58C08A10" w14:textId="148DB963"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a felügyeleti slotting módszer szerinti azon speciális hitelezési kitettségek, amelyek nem szerepelnek a 0010-es oszlopban.</w:t>
            </w:r>
          </w:p>
        </w:tc>
      </w:tr>
      <w:tr w:rsidR="00FB3D09" w:rsidRPr="002A677E" w14:paraId="5705D87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E741133"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5C4C0A5"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AZ IRB MÓDSZER HATÁLYA ALÁ TARTOZÓ TELJES KITETTSÉGÉRTÉK SZÁZALÉKOS ARÁNYA (%)</w:t>
            </w:r>
          </w:p>
          <w:p w14:paraId="281F622B" w14:textId="77777777" w:rsidR="00FB3D09" w:rsidRPr="002A677E" w:rsidRDefault="00FB3D09" w:rsidP="00822842">
            <w:pPr>
              <w:rPr>
                <w:rFonts w:ascii="Times New Roman" w:hAnsi="Times New Roman"/>
                <w:b/>
                <w:sz w:val="24"/>
              </w:rPr>
            </w:pPr>
            <w:r>
              <w:rPr>
                <w:rFonts w:ascii="Times New Roman" w:hAnsi="Times New Roman"/>
                <w:sz w:val="24"/>
              </w:rPr>
              <w:t>Az egyes kitettségi osztályokhoz tartozó kitettségeknek az IRB módszer hatálya alá tartozó része (az IRB módszer hatálya alá tartozó, hitelkockázat-mérséklés előtti kitettség az adott kitettségi osztály teljes kitettségén belül), figyelembe véve az IRB módszer alkalmazására vonatkozó, az 575/2013/EU rendelet 143. cikkével összhangban az illetékes hatóságtól kapott engedély hatókörét. Ez magában foglalja azokat a kitettségeket, amelyek esetében az intézmények engedélyt kaptak az LGD és/vagy a hitel-egyenértékesítési tényezők saját becslésének alkalmazására, és azokat, amelyek esetében nem kaptak ilyen engedélyt (F-IRB és A-IRB), a felügyeleti slotting módszer szerinti speciális hitelezési kitettségeket és az egyszerű kockázati súlyozású részvényjellegű kitettségeket, valamint a C 08.01 tábla 0170. sorában feltüntetett kitettségeket.</w:t>
            </w:r>
          </w:p>
        </w:tc>
      </w:tr>
    </w:tbl>
    <w:p w14:paraId="164F67EA" w14:textId="77777777" w:rsidR="00FB3D09" w:rsidRPr="002A677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6"/>
        <w:gridCol w:w="8172"/>
      </w:tblGrid>
      <w:tr w:rsidR="00FB3D09" w:rsidRPr="002A677E" w14:paraId="0A859347" w14:textId="77777777" w:rsidTr="00822842">
        <w:tc>
          <w:tcPr>
            <w:tcW w:w="1271" w:type="dxa"/>
            <w:shd w:val="pct25" w:color="auto" w:fill="auto"/>
          </w:tcPr>
          <w:p w14:paraId="7F52456F" w14:textId="77777777" w:rsidR="00FB3D09" w:rsidRPr="002A677E" w:rsidRDefault="00FB3D09" w:rsidP="00822842">
            <w:pPr>
              <w:rPr>
                <w:rFonts w:ascii="Times New Roman" w:hAnsi="Times New Roman"/>
                <w:sz w:val="24"/>
              </w:rPr>
            </w:pPr>
            <w:r>
              <w:rPr>
                <w:rFonts w:ascii="Times New Roman" w:hAnsi="Times New Roman"/>
                <w:sz w:val="24"/>
              </w:rPr>
              <w:t>Sorok</w:t>
            </w:r>
          </w:p>
        </w:tc>
        <w:tc>
          <w:tcPr>
            <w:tcW w:w="8557" w:type="dxa"/>
            <w:shd w:val="pct25" w:color="auto" w:fill="auto"/>
          </w:tcPr>
          <w:p w14:paraId="123EB3D4" w14:textId="77777777" w:rsidR="00FB3D09" w:rsidRPr="002A677E" w:rsidRDefault="00FB3D09" w:rsidP="00822842">
            <w:pPr>
              <w:rPr>
                <w:rFonts w:ascii="Times New Roman" w:hAnsi="Times New Roman"/>
                <w:sz w:val="24"/>
              </w:rPr>
            </w:pPr>
            <w:r>
              <w:rPr>
                <w:rFonts w:ascii="Times New Roman" w:hAnsi="Times New Roman"/>
                <w:sz w:val="24"/>
              </w:rPr>
              <w:t>Útmutató</w:t>
            </w:r>
          </w:p>
        </w:tc>
      </w:tr>
      <w:tr w:rsidR="00FB3D09" w:rsidRPr="002A677E" w14:paraId="39EFDE98" w14:textId="77777777" w:rsidTr="00822842">
        <w:tc>
          <w:tcPr>
            <w:tcW w:w="1271" w:type="dxa"/>
          </w:tcPr>
          <w:p w14:paraId="416FB44E" w14:textId="77777777" w:rsidR="00FB3D09" w:rsidRPr="002A677E" w:rsidRDefault="00FB3D09" w:rsidP="00822842">
            <w:pPr>
              <w:rPr>
                <w:rFonts w:ascii="Times New Roman" w:hAnsi="Times New Roman"/>
                <w:sz w:val="24"/>
              </w:rPr>
            </w:pPr>
            <w:r>
              <w:rPr>
                <w:rFonts w:ascii="Times New Roman" w:hAnsi="Times New Roman"/>
                <w:sz w:val="24"/>
              </w:rPr>
              <w:t>KITETTSÉGI OSZTÁLYOK</w:t>
            </w:r>
          </w:p>
        </w:tc>
        <w:tc>
          <w:tcPr>
            <w:tcW w:w="8557" w:type="dxa"/>
          </w:tcPr>
          <w:p w14:paraId="7564DFF0" w14:textId="77777777" w:rsidR="00FB3D09" w:rsidRPr="002A677E" w:rsidRDefault="00FB3D09" w:rsidP="00822842">
            <w:pPr>
              <w:rPr>
                <w:rFonts w:ascii="Times New Roman" w:eastAsiaTheme="minorHAnsi" w:hAnsi="Times New Roman"/>
                <w:sz w:val="24"/>
              </w:rPr>
            </w:pPr>
            <w:r>
              <w:rPr>
                <w:rFonts w:ascii="Times New Roman" w:hAnsi="Times New Roman"/>
                <w:sz w:val="24"/>
              </w:rPr>
              <w:t>Az intézményeknek az ebben a táblában szereplő információkat kitettségi osztályok szerint kell megadniuk, a tábla soraiban szereplő kitettségi osztályok szerinti bontásban.</w:t>
            </w:r>
          </w:p>
        </w:tc>
      </w:tr>
    </w:tbl>
    <w:p w14:paraId="423B2FFB" w14:textId="77777777" w:rsidR="00FB3D09" w:rsidRPr="002A677E" w:rsidRDefault="00FB3D09" w:rsidP="00FB3D09">
      <w:pPr>
        <w:pStyle w:val="InstructionsText"/>
      </w:pPr>
    </w:p>
    <w:p w14:paraId="64301D29" w14:textId="5498A6A8" w:rsidR="00FB3D09" w:rsidRPr="002A677E" w:rsidRDefault="00FB3D09" w:rsidP="003C214D">
      <w:pPr>
        <w:pStyle w:val="Instructionsberschrift2"/>
        <w:numPr>
          <w:ilvl w:val="0"/>
          <w:numId w:val="0"/>
        </w:numPr>
        <w:ind w:left="357" w:hanging="357"/>
      </w:pPr>
    </w:p>
    <w:p w14:paraId="6A9DD699" w14:textId="77777777" w:rsidR="00210485" w:rsidRDefault="00210485"/>
    <w:p w14:paraId="108DB657" w14:textId="77777777" w:rsidR="00FB3D09" w:rsidRDefault="00FB3D09"/>
    <w:p w14:paraId="31203373" w14:textId="77777777" w:rsidR="00FB3D09" w:rsidRDefault="00FB3D09"/>
    <w:p w14:paraId="32797964" w14:textId="77777777" w:rsidR="00210485" w:rsidRDefault="00210485"/>
    <w:sectPr w:rsidR="00210485">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03CBD" w14:textId="77777777" w:rsidR="00CF2E8B" w:rsidRDefault="00CF2E8B" w:rsidP="00E26A90">
      <w:pPr>
        <w:spacing w:after="0"/>
      </w:pPr>
      <w:r>
        <w:separator/>
      </w:r>
    </w:p>
  </w:endnote>
  <w:endnote w:type="continuationSeparator" w:id="0">
    <w:p w14:paraId="2A814F1F" w14:textId="77777777" w:rsidR="00CF2E8B" w:rsidRDefault="00CF2E8B"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3"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8E0D9" w14:textId="77777777" w:rsidR="00CF2E8B" w:rsidRDefault="00CF2E8B" w:rsidP="00E26A90">
      <w:pPr>
        <w:spacing w:after="0"/>
      </w:pPr>
      <w:r>
        <w:separator/>
      </w:r>
    </w:p>
  </w:footnote>
  <w:footnote w:type="continuationSeparator" w:id="0">
    <w:p w14:paraId="3D573060" w14:textId="77777777" w:rsidR="00CF2E8B" w:rsidRDefault="00CF2E8B"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BH – szokásos felhasználásra"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EBH – szokásos felhasználásra"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BH – szokásos felhasználásra"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B5577"/>
    <w:multiLevelType w:val="multilevel"/>
    <w:tmpl w:val="1E16ACB4"/>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CD55968"/>
    <w:multiLevelType w:val="multilevel"/>
    <w:tmpl w:val="6C985BEC"/>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1D2B1F86"/>
    <w:multiLevelType w:val="hybridMultilevel"/>
    <w:tmpl w:val="51A461B8"/>
    <w:lvl w:ilvl="0" w:tplc="8EFA9B40">
      <w:start w:val="1"/>
      <w:numFmt w:val="decimal"/>
      <w:lvlText w:val="%1)"/>
      <w:lvlJc w:val="left"/>
      <w:pPr>
        <w:ind w:left="1440" w:hanging="732"/>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2" w15:restartNumberingAfterBreak="0">
    <w:nsid w:val="2F7D7F02"/>
    <w:multiLevelType w:val="multilevel"/>
    <w:tmpl w:val="0407001D"/>
    <w:numStyleLink w:val="Formatvorlage3"/>
  </w:abstractNum>
  <w:abstractNum w:abstractNumId="1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8"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5776359">
    <w:abstractNumId w:val="4"/>
  </w:num>
  <w:num w:numId="2" w16cid:durableId="1733112609">
    <w:abstractNumId w:val="23"/>
  </w:num>
  <w:num w:numId="3" w16cid:durableId="286200695">
    <w:abstractNumId w:val="31"/>
  </w:num>
  <w:num w:numId="4" w16cid:durableId="487287975">
    <w:abstractNumId w:val="18"/>
  </w:num>
  <w:num w:numId="5" w16cid:durableId="1754350949">
    <w:abstractNumId w:val="26"/>
  </w:num>
  <w:num w:numId="6" w16cid:durableId="1507597667">
    <w:abstractNumId w:val="16"/>
  </w:num>
  <w:num w:numId="7" w16cid:durableId="139271283">
    <w:abstractNumId w:val="30"/>
  </w:num>
  <w:num w:numId="8" w16cid:durableId="763764270">
    <w:abstractNumId w:val="8"/>
  </w:num>
  <w:num w:numId="9" w16cid:durableId="1561986968">
    <w:abstractNumId w:val="24"/>
  </w:num>
  <w:num w:numId="10" w16cid:durableId="1349260748">
    <w:abstractNumId w:val="14"/>
  </w:num>
  <w:num w:numId="11" w16cid:durableId="1097991330">
    <w:abstractNumId w:val="20"/>
  </w:num>
  <w:num w:numId="12" w16cid:durableId="858469680">
    <w:abstractNumId w:val="10"/>
  </w:num>
  <w:num w:numId="13" w16cid:durableId="1485394352">
    <w:abstractNumId w:val="25"/>
  </w:num>
  <w:num w:numId="14" w16cid:durableId="881021889">
    <w:abstractNumId w:val="22"/>
  </w:num>
  <w:num w:numId="15" w16cid:durableId="1923681300">
    <w:abstractNumId w:val="13"/>
  </w:num>
  <w:num w:numId="16" w16cid:durableId="211188018">
    <w:abstractNumId w:val="19"/>
  </w:num>
  <w:num w:numId="17" w16cid:durableId="373817584">
    <w:abstractNumId w:val="12"/>
  </w:num>
  <w:num w:numId="18" w16cid:durableId="1615165847">
    <w:abstractNumId w:val="27"/>
  </w:num>
  <w:num w:numId="19" w16cid:durableId="429467310">
    <w:abstractNumId w:val="6"/>
  </w:num>
  <w:num w:numId="20" w16cid:durableId="430467532">
    <w:abstractNumId w:val="32"/>
  </w:num>
  <w:num w:numId="21" w16cid:durableId="1464036760">
    <w:abstractNumId w:val="5"/>
  </w:num>
  <w:num w:numId="22" w16cid:durableId="1079792157">
    <w:abstractNumId w:val="17"/>
  </w:num>
  <w:num w:numId="23" w16cid:durableId="1333265662">
    <w:abstractNumId w:val="3"/>
  </w:num>
  <w:num w:numId="24" w16cid:durableId="737484550">
    <w:abstractNumId w:val="15"/>
  </w:num>
  <w:num w:numId="25" w16cid:durableId="309210531">
    <w:abstractNumId w:val="29"/>
  </w:num>
  <w:num w:numId="26" w16cid:durableId="166527561">
    <w:abstractNumId w:val="1"/>
  </w:num>
  <w:num w:numId="27" w16cid:durableId="1544101633">
    <w:abstractNumId w:val="28"/>
  </w:num>
  <w:num w:numId="28" w16cid:durableId="44380249">
    <w:abstractNumId w:val="21"/>
  </w:num>
  <w:num w:numId="29" w16cid:durableId="1838038624">
    <w:abstractNumId w:val="0"/>
  </w:num>
  <w:num w:numId="30" w16cid:durableId="1856265522">
    <w:abstractNumId w:val="11"/>
  </w:num>
  <w:num w:numId="31" w16cid:durableId="29191537">
    <w:abstractNumId w:val="9"/>
  </w:num>
  <w:num w:numId="32" w16cid:durableId="142084302">
    <w:abstractNumId w:val="2"/>
  </w:num>
  <w:num w:numId="33" w16cid:durableId="2032368279">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682E"/>
    <w:rsid w:val="000467F0"/>
    <w:rsid w:val="000A5D83"/>
    <w:rsid w:val="000C3D68"/>
    <w:rsid w:val="000C6322"/>
    <w:rsid w:val="000D5912"/>
    <w:rsid w:val="00126E51"/>
    <w:rsid w:val="001E1834"/>
    <w:rsid w:val="001E71E6"/>
    <w:rsid w:val="001F45C7"/>
    <w:rsid w:val="002054D0"/>
    <w:rsid w:val="00210485"/>
    <w:rsid w:val="002433A6"/>
    <w:rsid w:val="0029349B"/>
    <w:rsid w:val="00393F1E"/>
    <w:rsid w:val="003C214D"/>
    <w:rsid w:val="003C2423"/>
    <w:rsid w:val="003E076B"/>
    <w:rsid w:val="003F0844"/>
    <w:rsid w:val="0042414E"/>
    <w:rsid w:val="0057678A"/>
    <w:rsid w:val="00582B0D"/>
    <w:rsid w:val="005E354B"/>
    <w:rsid w:val="006013AC"/>
    <w:rsid w:val="00621A3F"/>
    <w:rsid w:val="00626DD7"/>
    <w:rsid w:val="00631623"/>
    <w:rsid w:val="006B0F8A"/>
    <w:rsid w:val="0074573C"/>
    <w:rsid w:val="008A3C6B"/>
    <w:rsid w:val="008A5ABF"/>
    <w:rsid w:val="008C13A4"/>
    <w:rsid w:val="008C6BB9"/>
    <w:rsid w:val="009161EF"/>
    <w:rsid w:val="0094064F"/>
    <w:rsid w:val="0096584D"/>
    <w:rsid w:val="00974C97"/>
    <w:rsid w:val="009C098A"/>
    <w:rsid w:val="009D125A"/>
    <w:rsid w:val="00A53BD9"/>
    <w:rsid w:val="00A54B9F"/>
    <w:rsid w:val="00A6002C"/>
    <w:rsid w:val="00A77E8C"/>
    <w:rsid w:val="00A816FF"/>
    <w:rsid w:val="00AB3AA8"/>
    <w:rsid w:val="00B71F25"/>
    <w:rsid w:val="00B949C3"/>
    <w:rsid w:val="00B95971"/>
    <w:rsid w:val="00C16184"/>
    <w:rsid w:val="00CC757F"/>
    <w:rsid w:val="00CD1BFF"/>
    <w:rsid w:val="00CF2E8B"/>
    <w:rsid w:val="00DB50AA"/>
    <w:rsid w:val="00E13BD0"/>
    <w:rsid w:val="00E26A90"/>
    <w:rsid w:val="00E3648D"/>
    <w:rsid w:val="00E87394"/>
    <w:rsid w:val="00EC2C42"/>
    <w:rsid w:val="00EF07A1"/>
    <w:rsid w:val="00EF2302"/>
    <w:rsid w:val="00F211BE"/>
    <w:rsid w:val="00F35049"/>
    <w:rsid w:val="00F37042"/>
    <w:rsid w:val="00F61AEB"/>
    <w:rsid w:val="00FB3D09"/>
    <w:rsid w:val="00FC2C95"/>
    <w:rsid w:val="00FC71D2"/>
    <w:rsid w:val="00FD1A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D09"/>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B3D09"/>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B3D09"/>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B3D09"/>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B3D09"/>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B3D09"/>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B3D09"/>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B3D09"/>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B3D09"/>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B3D09"/>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B3D09"/>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B3D09"/>
    <w:rPr>
      <w:rFonts w:ascii="Verdana" w:eastAsia="Arial" w:hAnsi="Verdana" w:cs="Times New Roman"/>
      <w:b/>
      <w:kern w:val="0"/>
      <w:sz w:val="24"/>
      <w:szCs w:val="24"/>
      <w:u w:val="single"/>
      <w:lang w:val="hu-HU" w:eastAsia="x-none"/>
      <w14:ligatures w14:val="none"/>
    </w:rPr>
  </w:style>
  <w:style w:type="character" w:customStyle="1" w:styleId="Heading3Char">
    <w:name w:val="Heading 3 Char"/>
    <w:aliases w:val="Title 2 Char"/>
    <w:basedOn w:val="DefaultParagraphFont"/>
    <w:uiPriority w:val="99"/>
    <w:rsid w:val="00FB3D09"/>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B3D09"/>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B3D09"/>
    <w:rPr>
      <w:rFonts w:ascii="Arial" w:eastAsia="Arial" w:hAnsi="Arial" w:cs="Times New Roman"/>
      <w:b/>
      <w:i/>
      <w:kern w:val="0"/>
      <w:sz w:val="20"/>
      <w:szCs w:val="20"/>
      <w:lang w:val="hu-HU" w:eastAsia="de-DE"/>
      <w14:ligatures w14:val="none"/>
    </w:rPr>
  </w:style>
  <w:style w:type="character" w:customStyle="1" w:styleId="Heading6Char">
    <w:name w:val="Heading 6 Char"/>
    <w:basedOn w:val="DefaultParagraphFont"/>
    <w:link w:val="Heading6"/>
    <w:rsid w:val="00FB3D09"/>
    <w:rPr>
      <w:rFonts w:ascii="Times New Roman" w:eastAsia="Arial" w:hAnsi="Times New Roman" w:cs="Times New Roman"/>
      <w:b/>
      <w:bCs/>
      <w:kern w:val="0"/>
      <w:sz w:val="20"/>
      <w:szCs w:val="20"/>
      <w:lang w:val="hu-HU" w:eastAsia="de-DE"/>
      <w14:ligatures w14:val="none"/>
    </w:rPr>
  </w:style>
  <w:style w:type="character" w:customStyle="1" w:styleId="Heading7Char">
    <w:name w:val="Heading 7 Char"/>
    <w:basedOn w:val="DefaultParagraphFont"/>
    <w:link w:val="Heading7"/>
    <w:rsid w:val="00FB3D09"/>
    <w:rPr>
      <w:rFonts w:ascii="Times New Roman" w:eastAsia="Arial" w:hAnsi="Times New Roman" w:cs="Times New Roman"/>
      <w:kern w:val="0"/>
      <w:sz w:val="20"/>
      <w:szCs w:val="20"/>
      <w:lang w:val="hu-HU" w:eastAsia="de-DE"/>
      <w14:ligatures w14:val="none"/>
    </w:rPr>
  </w:style>
  <w:style w:type="character" w:customStyle="1" w:styleId="Heading8Char">
    <w:name w:val="Heading 8 Char"/>
    <w:basedOn w:val="DefaultParagraphFont"/>
    <w:link w:val="Heading8"/>
    <w:rsid w:val="00FB3D09"/>
    <w:rPr>
      <w:rFonts w:ascii="Times New Roman" w:eastAsia="Arial" w:hAnsi="Times New Roman" w:cs="Times New Roman"/>
      <w:i/>
      <w:iCs/>
      <w:kern w:val="0"/>
      <w:sz w:val="20"/>
      <w:szCs w:val="20"/>
      <w:lang w:val="hu-HU" w:eastAsia="de-DE"/>
      <w14:ligatures w14:val="none"/>
    </w:rPr>
  </w:style>
  <w:style w:type="character" w:customStyle="1" w:styleId="Heading9Char">
    <w:name w:val="Heading 9 Char"/>
    <w:basedOn w:val="DefaultParagraphFont"/>
    <w:link w:val="Heading9"/>
    <w:rsid w:val="00FB3D09"/>
    <w:rPr>
      <w:rFonts w:ascii="Arial" w:eastAsia="Arial" w:hAnsi="Arial" w:cs="Times New Roman"/>
      <w:kern w:val="0"/>
      <w:sz w:val="20"/>
      <w:szCs w:val="20"/>
      <w:lang w:val="hu-HU" w:eastAsia="de-DE"/>
      <w14:ligatures w14:val="none"/>
    </w:rPr>
  </w:style>
  <w:style w:type="paragraph" w:styleId="TableofFigures">
    <w:name w:val="table of figures"/>
    <w:basedOn w:val="Normal"/>
    <w:next w:val="Normal"/>
    <w:qFormat/>
    <w:rsid w:val="00FB3D09"/>
    <w:pPr>
      <w:ind w:left="440" w:hanging="440"/>
    </w:pPr>
  </w:style>
  <w:style w:type="paragraph" w:customStyle="1" w:styleId="Aufzhlungszeichen1">
    <w:name w:val="Aufzählungszeichen1"/>
    <w:basedOn w:val="Normal"/>
    <w:uiPriority w:val="1"/>
    <w:qFormat/>
    <w:rsid w:val="00FB3D09"/>
    <w:pPr>
      <w:numPr>
        <w:numId w:val="1"/>
      </w:numPr>
      <w:spacing w:line="240" w:lineRule="exact"/>
    </w:pPr>
  </w:style>
  <w:style w:type="paragraph" w:customStyle="1" w:styleId="Aufzhlungszeichen2">
    <w:name w:val="Aufzählungszeichen2"/>
    <w:basedOn w:val="Normal"/>
    <w:uiPriority w:val="1"/>
    <w:qFormat/>
    <w:rsid w:val="00FB3D09"/>
    <w:pPr>
      <w:numPr>
        <w:numId w:val="2"/>
      </w:numPr>
      <w:spacing w:line="240" w:lineRule="exact"/>
    </w:pPr>
  </w:style>
  <w:style w:type="paragraph" w:customStyle="1" w:styleId="Aufzhlungszeichen3">
    <w:name w:val="Aufzählungszeichen3"/>
    <w:basedOn w:val="Normal"/>
    <w:uiPriority w:val="1"/>
    <w:qFormat/>
    <w:rsid w:val="00FB3D09"/>
    <w:pPr>
      <w:numPr>
        <w:numId w:val="3"/>
      </w:numPr>
      <w:spacing w:line="240" w:lineRule="exact"/>
    </w:pPr>
  </w:style>
  <w:style w:type="paragraph" w:customStyle="1" w:styleId="Aufzhlungszeichen4">
    <w:name w:val="Aufzählungszeichen4"/>
    <w:basedOn w:val="Normal"/>
    <w:uiPriority w:val="1"/>
    <w:qFormat/>
    <w:rsid w:val="00FB3D09"/>
    <w:pPr>
      <w:numPr>
        <w:numId w:val="4"/>
      </w:numPr>
      <w:spacing w:line="240" w:lineRule="exact"/>
    </w:pPr>
  </w:style>
  <w:style w:type="paragraph" w:styleId="FootnoteText">
    <w:name w:val="footnote text"/>
    <w:basedOn w:val="Normal"/>
    <w:link w:val="FootnoteTextChar"/>
    <w:qFormat/>
    <w:rsid w:val="00FB3D09"/>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B3D09"/>
    <w:rPr>
      <w:rFonts w:ascii="Arial" w:eastAsia="Arial" w:hAnsi="Arial" w:cs="Times New Roman"/>
      <w:kern w:val="0"/>
      <w:sz w:val="16"/>
      <w:szCs w:val="16"/>
      <w:lang w:val="hu-HU"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B3D09"/>
    <w:rPr>
      <w:rFonts w:ascii="Arial" w:hAnsi="Arial" w:cs="Times New Roman"/>
      <w:kern w:val="0"/>
      <w:position w:val="4"/>
      <w:sz w:val="12"/>
      <w:szCs w:val="12"/>
      <w:vertAlign w:val="baseline"/>
    </w:rPr>
  </w:style>
  <w:style w:type="paragraph" w:styleId="Footer">
    <w:name w:val="footer"/>
    <w:basedOn w:val="Normal"/>
    <w:link w:val="FooterChar"/>
    <w:uiPriority w:val="99"/>
    <w:rsid w:val="00FB3D09"/>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B3D09"/>
    <w:rPr>
      <w:rFonts w:ascii="Arial" w:eastAsia="Arial" w:hAnsi="Arial" w:cs="Times New Roman"/>
      <w:kern w:val="0"/>
      <w:sz w:val="14"/>
      <w:szCs w:val="14"/>
      <w:lang w:val="hu-HU" w:eastAsia="de-DE"/>
      <w14:ligatures w14:val="none"/>
    </w:rPr>
  </w:style>
  <w:style w:type="paragraph" w:customStyle="1" w:styleId="GliederungmitAufzhlung">
    <w:name w:val="Gliederung mit Aufzählung"/>
    <w:basedOn w:val="Normal"/>
    <w:uiPriority w:val="1"/>
    <w:qFormat/>
    <w:rsid w:val="00FB3D09"/>
    <w:pPr>
      <w:numPr>
        <w:numId w:val="7"/>
      </w:numPr>
      <w:spacing w:line="312" w:lineRule="auto"/>
    </w:pPr>
  </w:style>
  <w:style w:type="paragraph" w:customStyle="1" w:styleId="GliederungmitNummerierung">
    <w:name w:val="Gliederung mit Nummerierung"/>
    <w:basedOn w:val="Normal"/>
    <w:uiPriority w:val="1"/>
    <w:qFormat/>
    <w:rsid w:val="00FB3D09"/>
    <w:pPr>
      <w:numPr>
        <w:numId w:val="8"/>
      </w:numPr>
      <w:spacing w:line="312" w:lineRule="auto"/>
    </w:pPr>
  </w:style>
  <w:style w:type="paragraph" w:customStyle="1" w:styleId="HngEinrckung1">
    <w:name w:val="Häng. Einrückung1"/>
    <w:basedOn w:val="Normal"/>
    <w:uiPriority w:val="1"/>
    <w:qFormat/>
    <w:rsid w:val="00FB3D09"/>
    <w:pPr>
      <w:spacing w:line="312" w:lineRule="auto"/>
      <w:ind w:left="567" w:hanging="567"/>
    </w:pPr>
  </w:style>
  <w:style w:type="paragraph" w:customStyle="1" w:styleId="HngEinrckung2">
    <w:name w:val="Häng. Einrückung2"/>
    <w:basedOn w:val="Normal"/>
    <w:uiPriority w:val="1"/>
    <w:qFormat/>
    <w:rsid w:val="00FB3D09"/>
    <w:pPr>
      <w:spacing w:line="312" w:lineRule="auto"/>
      <w:ind w:left="1134" w:hanging="567"/>
    </w:pPr>
  </w:style>
  <w:style w:type="paragraph" w:customStyle="1" w:styleId="HngEinrckung3">
    <w:name w:val="Häng. Einrückung3"/>
    <w:basedOn w:val="Normal"/>
    <w:uiPriority w:val="1"/>
    <w:qFormat/>
    <w:rsid w:val="00FB3D09"/>
    <w:pPr>
      <w:spacing w:line="312" w:lineRule="auto"/>
      <w:ind w:left="1701" w:hanging="567"/>
    </w:pPr>
  </w:style>
  <w:style w:type="character" w:styleId="Hyperlink">
    <w:name w:val="Hyperlink"/>
    <w:uiPriority w:val="99"/>
    <w:rsid w:val="00FB3D09"/>
    <w:rPr>
      <w:rFonts w:cs="Times New Roman"/>
      <w:color w:val="0000FF"/>
      <w:u w:val="single"/>
    </w:rPr>
  </w:style>
  <w:style w:type="paragraph" w:customStyle="1" w:styleId="Marginalspalte">
    <w:name w:val="Marginalspalte"/>
    <w:basedOn w:val="Normal"/>
    <w:uiPriority w:val="1"/>
    <w:qFormat/>
    <w:rsid w:val="00FB3D09"/>
    <w:pPr>
      <w:framePr w:w="851" w:h="851" w:hSpace="284" w:wrap="around" w:vAnchor="text" w:hAnchor="page" w:y="1"/>
    </w:pPr>
    <w:rPr>
      <w:i/>
      <w:szCs w:val="22"/>
    </w:rPr>
  </w:style>
  <w:style w:type="paragraph" w:customStyle="1" w:styleId="Nummerierungsart1">
    <w:name w:val="Nummerierungsart1"/>
    <w:basedOn w:val="Normal"/>
    <w:uiPriority w:val="1"/>
    <w:qFormat/>
    <w:rsid w:val="00FB3D09"/>
    <w:pPr>
      <w:numPr>
        <w:numId w:val="9"/>
      </w:numPr>
    </w:pPr>
  </w:style>
  <w:style w:type="paragraph" w:customStyle="1" w:styleId="Nummerierungsart2">
    <w:name w:val="Nummerierungsart2"/>
    <w:basedOn w:val="Normal"/>
    <w:uiPriority w:val="1"/>
    <w:qFormat/>
    <w:rsid w:val="00FB3D09"/>
    <w:pPr>
      <w:numPr>
        <w:numId w:val="10"/>
      </w:numPr>
    </w:pPr>
  </w:style>
  <w:style w:type="paragraph" w:customStyle="1" w:styleId="Nummerierungsart3">
    <w:name w:val="Nummerierungsart3"/>
    <w:basedOn w:val="Normal"/>
    <w:uiPriority w:val="1"/>
    <w:qFormat/>
    <w:rsid w:val="00FB3D09"/>
    <w:pPr>
      <w:numPr>
        <w:numId w:val="11"/>
      </w:numPr>
    </w:pPr>
  </w:style>
  <w:style w:type="paragraph" w:customStyle="1" w:styleId="Nummerierungsart4">
    <w:name w:val="Nummerierungsart4"/>
    <w:basedOn w:val="Normal"/>
    <w:uiPriority w:val="1"/>
    <w:qFormat/>
    <w:rsid w:val="00FB3D09"/>
    <w:pPr>
      <w:numPr>
        <w:numId w:val="12"/>
      </w:numPr>
    </w:pPr>
  </w:style>
  <w:style w:type="character" w:styleId="PageNumber">
    <w:name w:val="page number"/>
    <w:uiPriority w:val="99"/>
    <w:rsid w:val="00FB3D09"/>
    <w:rPr>
      <w:rFonts w:ascii="Arial" w:hAnsi="Arial" w:cs="Times New Roman"/>
      <w:sz w:val="22"/>
    </w:rPr>
  </w:style>
  <w:style w:type="character" w:customStyle="1" w:styleId="Heading3Char1">
    <w:name w:val="Heading 3 Char1"/>
    <w:aliases w:val="Title 2 Char1"/>
    <w:link w:val="Heading3"/>
    <w:uiPriority w:val="99"/>
    <w:locked/>
    <w:rsid w:val="00FB3D09"/>
    <w:rPr>
      <w:rFonts w:ascii="Arial" w:eastAsia="Arial" w:hAnsi="Arial" w:cs="Times New Roman"/>
      <w:b/>
      <w:kern w:val="0"/>
      <w:sz w:val="20"/>
      <w:szCs w:val="20"/>
      <w:lang w:val="hu-HU" w:eastAsia="de-DE"/>
      <w14:ligatures w14:val="none"/>
    </w:rPr>
  </w:style>
  <w:style w:type="paragraph" w:styleId="TOC1">
    <w:name w:val="toc 1"/>
    <w:basedOn w:val="Normal"/>
    <w:next w:val="Normal"/>
    <w:autoRedefine/>
    <w:uiPriority w:val="39"/>
    <w:qFormat/>
    <w:rsid w:val="00FB3D09"/>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B3D09"/>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B3D09"/>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B3D09"/>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B3D09"/>
    <w:pPr>
      <w:tabs>
        <w:tab w:val="right" w:leader="dot" w:pos="9071"/>
      </w:tabs>
      <w:ind w:left="1134" w:hanging="1134"/>
    </w:pPr>
    <w:rPr>
      <w:sz w:val="16"/>
    </w:rPr>
  </w:style>
  <w:style w:type="paragraph" w:styleId="TOC8">
    <w:name w:val="toc 8"/>
    <w:basedOn w:val="Normal"/>
    <w:next w:val="Normal"/>
    <w:autoRedefine/>
    <w:uiPriority w:val="39"/>
    <w:rsid w:val="00FB3D09"/>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B3D09"/>
    <w:pPr>
      <w:tabs>
        <w:tab w:val="right" w:leader="dot" w:pos="9071"/>
      </w:tabs>
      <w:ind w:left="1361" w:hanging="1361"/>
    </w:pPr>
    <w:rPr>
      <w:sz w:val="16"/>
    </w:rPr>
  </w:style>
  <w:style w:type="paragraph" w:styleId="Quote">
    <w:name w:val="Quote"/>
    <w:basedOn w:val="Normal"/>
    <w:next w:val="Normal"/>
    <w:link w:val="QuoteChar"/>
    <w:uiPriority w:val="29"/>
    <w:qFormat/>
    <w:rsid w:val="00FB3D09"/>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B3D09"/>
    <w:rPr>
      <w:rFonts w:ascii="Arial" w:eastAsia="Arial" w:hAnsi="Arial" w:cs="Times New Roman"/>
      <w:i/>
      <w:iCs/>
      <w:color w:val="000000"/>
      <w:kern w:val="0"/>
      <w:sz w:val="20"/>
      <w:szCs w:val="20"/>
      <w:lang w:val="hu-HU" w:eastAsia="de-DE"/>
      <w14:ligatures w14:val="none"/>
    </w:rPr>
  </w:style>
  <w:style w:type="paragraph" w:styleId="TOCHeading">
    <w:name w:val="TOC Heading"/>
    <w:basedOn w:val="Heading1"/>
    <w:next w:val="Normal"/>
    <w:uiPriority w:val="39"/>
    <w:qFormat/>
    <w:rsid w:val="00FB3D09"/>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B3D09"/>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B3D09"/>
    <w:rPr>
      <w:rFonts w:ascii="Arial" w:eastAsia="Arial" w:hAnsi="Arial" w:cs="Times New Roman"/>
      <w:kern w:val="0"/>
      <w:sz w:val="20"/>
      <w:szCs w:val="20"/>
      <w:lang w:val="hu-HU" w:eastAsia="de-DE"/>
      <w14:ligatures w14:val="none"/>
    </w:rPr>
  </w:style>
  <w:style w:type="character" w:styleId="EndnoteReference">
    <w:name w:val="endnote reference"/>
    <w:uiPriority w:val="1"/>
    <w:rsid w:val="00FB3D09"/>
    <w:rPr>
      <w:rFonts w:ascii="Arial" w:hAnsi="Arial" w:cs="Times New Roman"/>
      <w:color w:val="auto"/>
      <w:position w:val="4"/>
      <w:sz w:val="12"/>
      <w:vertAlign w:val="baseline"/>
    </w:rPr>
  </w:style>
  <w:style w:type="paragraph" w:customStyle="1" w:styleId="Ballontekst">
    <w:name w:val="Ballontekst"/>
    <w:basedOn w:val="Normal"/>
    <w:uiPriority w:val="99"/>
    <w:semiHidden/>
    <w:rsid w:val="00FB3D09"/>
    <w:rPr>
      <w:rFonts w:ascii="Tahoma" w:hAnsi="Tahoma" w:cs="Tahoma"/>
      <w:sz w:val="16"/>
      <w:szCs w:val="16"/>
    </w:rPr>
  </w:style>
  <w:style w:type="character" w:styleId="CommentReference">
    <w:name w:val="annotation reference"/>
    <w:uiPriority w:val="99"/>
    <w:rsid w:val="00FB3D09"/>
    <w:rPr>
      <w:rFonts w:cs="Times New Roman"/>
      <w:sz w:val="16"/>
      <w:szCs w:val="16"/>
    </w:rPr>
  </w:style>
  <w:style w:type="paragraph" w:styleId="CommentText">
    <w:name w:val="annotation text"/>
    <w:basedOn w:val="Normal"/>
    <w:link w:val="CommentTextChar"/>
    <w:uiPriority w:val="99"/>
    <w:rsid w:val="00FB3D09"/>
    <w:rPr>
      <w:rFonts w:eastAsia="Arial"/>
      <w:szCs w:val="20"/>
      <w:lang w:eastAsia="x-none"/>
    </w:rPr>
  </w:style>
  <w:style w:type="character" w:customStyle="1" w:styleId="CommentTextChar">
    <w:name w:val="Comment Text Char"/>
    <w:basedOn w:val="DefaultParagraphFont"/>
    <w:link w:val="CommentText"/>
    <w:uiPriority w:val="99"/>
    <w:rsid w:val="00FB3D09"/>
    <w:rPr>
      <w:rFonts w:ascii="Verdana" w:eastAsia="Arial" w:hAnsi="Verdana" w:cs="Times New Roman"/>
      <w:kern w:val="0"/>
      <w:sz w:val="20"/>
      <w:szCs w:val="20"/>
      <w:lang w:val="hu-HU" w:eastAsia="x-none"/>
      <w14:ligatures w14:val="none"/>
    </w:rPr>
  </w:style>
  <w:style w:type="paragraph" w:customStyle="1" w:styleId="Onderwerpvanopmerking">
    <w:name w:val="Onderwerp van opmerking"/>
    <w:basedOn w:val="CommentText"/>
    <w:next w:val="CommentText"/>
    <w:uiPriority w:val="99"/>
    <w:semiHidden/>
    <w:rsid w:val="00FB3D09"/>
    <w:rPr>
      <w:b/>
      <w:bCs/>
    </w:rPr>
  </w:style>
  <w:style w:type="character" w:styleId="FollowedHyperlink">
    <w:name w:val="FollowedHyperlink"/>
    <w:uiPriority w:val="99"/>
    <w:rsid w:val="00FB3D09"/>
    <w:rPr>
      <w:rFonts w:cs="Times New Roman"/>
      <w:color w:val="606420"/>
      <w:u w:val="single"/>
    </w:rPr>
  </w:style>
  <w:style w:type="paragraph" w:styleId="BalloonText">
    <w:name w:val="Balloon Text"/>
    <w:basedOn w:val="Normal"/>
    <w:link w:val="BalloonTextChar"/>
    <w:uiPriority w:val="99"/>
    <w:rsid w:val="00FB3D09"/>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B3D09"/>
    <w:rPr>
      <w:rFonts w:ascii="Tahoma" w:eastAsia="Arial" w:hAnsi="Tahoma" w:cs="Times New Roman"/>
      <w:kern w:val="0"/>
      <w:sz w:val="16"/>
      <w:szCs w:val="16"/>
      <w:lang w:val="hu-HU" w:eastAsia="x-none"/>
      <w14:ligatures w14:val="none"/>
    </w:rPr>
  </w:style>
  <w:style w:type="paragraph" w:styleId="CommentSubject">
    <w:name w:val="annotation subject"/>
    <w:basedOn w:val="CommentText"/>
    <w:next w:val="CommentText"/>
    <w:link w:val="CommentSubjectChar"/>
    <w:uiPriority w:val="99"/>
    <w:rsid w:val="00FB3D09"/>
    <w:rPr>
      <w:b/>
      <w:bCs/>
    </w:rPr>
  </w:style>
  <w:style w:type="character" w:customStyle="1" w:styleId="CommentSubjectChar">
    <w:name w:val="Comment Subject Char"/>
    <w:basedOn w:val="CommentTextChar"/>
    <w:link w:val="CommentSubject"/>
    <w:uiPriority w:val="99"/>
    <w:rsid w:val="00FB3D09"/>
    <w:rPr>
      <w:rFonts w:ascii="Verdana" w:eastAsia="Arial" w:hAnsi="Verdana" w:cs="Times New Roman"/>
      <w:b/>
      <w:bCs/>
      <w:kern w:val="0"/>
      <w:sz w:val="20"/>
      <w:szCs w:val="20"/>
      <w:lang w:val="hu-HU" w:eastAsia="x-none"/>
      <w14:ligatures w14:val="none"/>
    </w:rPr>
  </w:style>
  <w:style w:type="table" w:styleId="TableGrid">
    <w:name w:val="Table Grid"/>
    <w:aliases w:val="Tabla CUADROS"/>
    <w:basedOn w:val="TableNormal"/>
    <w:uiPriority w:val="59"/>
    <w:rsid w:val="00FB3D09"/>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B3D09"/>
    <w:pPr>
      <w:spacing w:before="240" w:after="60"/>
    </w:pPr>
    <w:rPr>
      <w:iCs/>
      <w:szCs w:val="28"/>
    </w:rPr>
  </w:style>
  <w:style w:type="character" w:customStyle="1" w:styleId="Formatvorlageberschrift4Char">
    <w:name w:val="Formatvorlage Überschrift 4 Char"/>
    <w:link w:val="Formatvorlageberschrift4"/>
    <w:uiPriority w:val="99"/>
    <w:locked/>
    <w:rsid w:val="00FB3D09"/>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B3D09"/>
    <w:pPr>
      <w:tabs>
        <w:tab w:val="num" w:pos="540"/>
      </w:tabs>
      <w:spacing w:before="240"/>
      <w:ind w:left="540" w:hanging="540"/>
    </w:pPr>
    <w:rPr>
      <w:b w:val="0"/>
      <w:kern w:val="32"/>
    </w:rPr>
  </w:style>
  <w:style w:type="paragraph" w:customStyle="1" w:styleId="Instructionsberschrift2">
    <w:name w:val="Instructions Überschrift 2"/>
    <w:basedOn w:val="Heading2"/>
    <w:rsid w:val="00FB3D09"/>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B3D09"/>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B3D09"/>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B3D09"/>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B3D09"/>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B3D09"/>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B3D09"/>
    <w:rPr>
      <w:rFonts w:ascii="Verdana" w:hAnsi="Verdana" w:cs="Times New Roman"/>
      <w:b/>
      <w:bCs/>
      <w:sz w:val="20"/>
      <w:u w:val="single"/>
    </w:rPr>
  </w:style>
  <w:style w:type="character" w:customStyle="1" w:styleId="InstructionsTabelleText">
    <w:name w:val="Instructions Tabelle Text"/>
    <w:rsid w:val="00FB3D09"/>
    <w:rPr>
      <w:rFonts w:ascii="Verdana" w:hAnsi="Verdana" w:cs="Times New Roman"/>
      <w:sz w:val="20"/>
    </w:rPr>
  </w:style>
  <w:style w:type="character" w:customStyle="1" w:styleId="FormatvorlageInstructionsTabelleText">
    <w:name w:val="Formatvorlage Instructions Tabelle Text"/>
    <w:uiPriority w:val="99"/>
    <w:qFormat/>
    <w:rsid w:val="00FB3D09"/>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B3D09"/>
    <w:pPr>
      <w:ind w:left="0" w:firstLine="0"/>
    </w:pPr>
    <w:rPr>
      <w:szCs w:val="20"/>
    </w:rPr>
  </w:style>
  <w:style w:type="paragraph" w:customStyle="1" w:styleId="Texte2">
    <w:name w:val="Texte 2"/>
    <w:basedOn w:val="Normal"/>
    <w:uiPriority w:val="99"/>
    <w:rsid w:val="00FB3D09"/>
    <w:pPr>
      <w:spacing w:after="0"/>
      <w:ind w:left="567"/>
    </w:pPr>
    <w:rPr>
      <w:sz w:val="22"/>
      <w:szCs w:val="20"/>
      <w:lang w:eastAsia="fr-FR"/>
    </w:rPr>
  </w:style>
  <w:style w:type="paragraph" w:customStyle="1" w:styleId="Prrafodelista1">
    <w:name w:val="Párrafo de lista1"/>
    <w:basedOn w:val="Normal"/>
    <w:uiPriority w:val="99"/>
    <w:rsid w:val="00FB3D09"/>
    <w:pPr>
      <w:ind w:left="720"/>
    </w:pPr>
  </w:style>
  <w:style w:type="paragraph" w:customStyle="1" w:styleId="Prrafodelista2">
    <w:name w:val="Párrafo de lista2"/>
    <w:basedOn w:val="Normal"/>
    <w:uiPriority w:val="99"/>
    <w:rsid w:val="00FB3D09"/>
    <w:pPr>
      <w:ind w:left="708"/>
    </w:pPr>
  </w:style>
  <w:style w:type="paragraph" w:styleId="PlainText">
    <w:name w:val="Plain Text"/>
    <w:basedOn w:val="Normal"/>
    <w:link w:val="PlainTextChar"/>
    <w:uiPriority w:val="99"/>
    <w:rsid w:val="00FB3D09"/>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B3D09"/>
    <w:rPr>
      <w:rFonts w:ascii="Verdana" w:eastAsia="Arial" w:hAnsi="Verdana" w:cs="Times New Roman"/>
      <w:kern w:val="0"/>
      <w:sz w:val="20"/>
      <w:szCs w:val="20"/>
      <w:lang w:val="hu-HU" w:eastAsia="es-ES_tradnl"/>
      <w14:ligatures w14:val="none"/>
    </w:rPr>
  </w:style>
  <w:style w:type="paragraph" w:customStyle="1" w:styleId="Listenabsatz1">
    <w:name w:val="Listenabsatz1"/>
    <w:basedOn w:val="Normal"/>
    <w:uiPriority w:val="99"/>
    <w:rsid w:val="00FB3D09"/>
    <w:pPr>
      <w:ind w:left="708"/>
    </w:pPr>
  </w:style>
  <w:style w:type="character" w:customStyle="1" w:styleId="InstructionsTextChar">
    <w:name w:val="Instructions Text Char"/>
    <w:link w:val="InstructionsText"/>
    <w:locked/>
    <w:rsid w:val="00FB3D09"/>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B3D09"/>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B3D09"/>
    <w:pPr>
      <w:ind w:left="708"/>
    </w:pPr>
  </w:style>
  <w:style w:type="character" w:styleId="PlaceholderText">
    <w:name w:val="Placeholder Text"/>
    <w:uiPriority w:val="99"/>
    <w:semiHidden/>
    <w:rsid w:val="00FB3D09"/>
    <w:rPr>
      <w:rFonts w:cs="Times New Roman"/>
      <w:color w:val="808080"/>
    </w:rPr>
  </w:style>
  <w:style w:type="paragraph" w:customStyle="1" w:styleId="InstructionsText2">
    <w:name w:val="Instructions Text 2"/>
    <w:basedOn w:val="InstructionsText"/>
    <w:qFormat/>
    <w:rsid w:val="00FB3D09"/>
    <w:pPr>
      <w:numPr>
        <w:numId w:val="15"/>
      </w:numPr>
      <w:spacing w:after="240"/>
    </w:pPr>
  </w:style>
  <w:style w:type="character" w:customStyle="1" w:styleId="Instructionsberschrift3Char">
    <w:name w:val="Instructions Überschrift 3 Char"/>
    <w:locked/>
    <w:rsid w:val="00FB3D09"/>
    <w:rPr>
      <w:rFonts w:ascii="Verdana" w:hAnsi="Verdana" w:cs="Arial"/>
      <w:b/>
      <w:bCs/>
      <w:sz w:val="26"/>
      <w:szCs w:val="26"/>
      <w:u w:val="single"/>
      <w:lang w:val="hu-HU" w:eastAsia="en-US" w:bidi="ar-SA"/>
    </w:rPr>
  </w:style>
  <w:style w:type="paragraph" w:customStyle="1" w:styleId="CM4">
    <w:name w:val="CM4"/>
    <w:basedOn w:val="Normal"/>
    <w:next w:val="Normal"/>
    <w:uiPriority w:val="99"/>
    <w:rsid w:val="00FB3D09"/>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B3D09"/>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B3D09"/>
    <w:rPr>
      <w:rFonts w:ascii="Tahoma" w:eastAsia="Arial" w:hAnsi="Tahoma" w:cs="Times New Roman"/>
      <w:kern w:val="0"/>
      <w:sz w:val="16"/>
      <w:szCs w:val="16"/>
      <w:lang w:val="hu-HU" w:eastAsia="x-none"/>
      <w14:ligatures w14:val="none"/>
    </w:rPr>
  </w:style>
  <w:style w:type="paragraph" w:customStyle="1" w:styleId="Titrearticle">
    <w:name w:val="Titre article"/>
    <w:basedOn w:val="Normal"/>
    <w:next w:val="Normal"/>
    <w:rsid w:val="00FB3D09"/>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B3D09"/>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B3D09"/>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B3D09"/>
    <w:rPr>
      <w:rFonts w:cs="Times New Roman"/>
      <w:sz w:val="24"/>
      <w:szCs w:val="24"/>
      <w:lang w:eastAsia="de-DE"/>
    </w:rPr>
  </w:style>
  <w:style w:type="paragraph" w:customStyle="1" w:styleId="NumPar1">
    <w:name w:val="NumPar 1"/>
    <w:basedOn w:val="Normal"/>
    <w:next w:val="Normal"/>
    <w:link w:val="NumPar1Char"/>
    <w:uiPriority w:val="99"/>
    <w:rsid w:val="00FB3D09"/>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B3D09"/>
    <w:rPr>
      <w:rFonts w:cs="Times New Roman"/>
      <w:sz w:val="24"/>
      <w:szCs w:val="24"/>
    </w:rPr>
  </w:style>
  <w:style w:type="paragraph" w:customStyle="1" w:styleId="Point1letter">
    <w:name w:val="Point 1 (letter)"/>
    <w:basedOn w:val="Normal"/>
    <w:link w:val="Point1letterChar"/>
    <w:uiPriority w:val="99"/>
    <w:rsid w:val="00FB3D09"/>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B3D09"/>
    <w:pPr>
      <w:numPr>
        <w:numId w:val="6"/>
      </w:numPr>
    </w:pPr>
  </w:style>
  <w:style w:type="numbering" w:customStyle="1" w:styleId="Formatvorlage3">
    <w:name w:val="Formatvorlage3"/>
    <w:uiPriority w:val="99"/>
    <w:rsid w:val="00FB3D09"/>
    <w:pPr>
      <w:numPr>
        <w:numId w:val="16"/>
      </w:numPr>
    </w:pPr>
  </w:style>
  <w:style w:type="numbering" w:customStyle="1" w:styleId="Formatvorlage1">
    <w:name w:val="Formatvorlage1"/>
    <w:uiPriority w:val="99"/>
    <w:rsid w:val="00FB3D09"/>
    <w:pPr>
      <w:numPr>
        <w:numId w:val="5"/>
      </w:numPr>
    </w:pPr>
  </w:style>
  <w:style w:type="numbering" w:customStyle="1" w:styleId="Formatvorlage4">
    <w:name w:val="Formatvorlage4"/>
    <w:uiPriority w:val="99"/>
    <w:rsid w:val="00FB3D09"/>
    <w:pPr>
      <w:numPr>
        <w:numId w:val="18"/>
      </w:numPr>
    </w:pPr>
  </w:style>
  <w:style w:type="paragraph" w:customStyle="1" w:styleId="ListParagraph1">
    <w:name w:val="List Paragraph1"/>
    <w:basedOn w:val="Normal"/>
    <w:uiPriority w:val="99"/>
    <w:qFormat/>
    <w:rsid w:val="00FB3D09"/>
    <w:pPr>
      <w:ind w:left="708"/>
    </w:pPr>
  </w:style>
  <w:style w:type="paragraph" w:customStyle="1" w:styleId="Anfhrungszeichen1">
    <w:name w:val="Anführungszeichen1"/>
    <w:basedOn w:val="Normal"/>
    <w:next w:val="Normal"/>
    <w:link w:val="AnfhrungszeichenZchn"/>
    <w:uiPriority w:val="29"/>
    <w:semiHidden/>
    <w:rsid w:val="00FB3D09"/>
    <w:rPr>
      <w:i/>
      <w:iCs/>
      <w:color w:val="000000"/>
    </w:rPr>
  </w:style>
  <w:style w:type="character" w:customStyle="1" w:styleId="AnfhrungszeichenZchn">
    <w:name w:val="Anführungszeichen Zchn"/>
    <w:link w:val="Anfhrungszeichen1"/>
    <w:uiPriority w:val="29"/>
    <w:semiHidden/>
    <w:rsid w:val="00FB3D09"/>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B3D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B3D09"/>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B3D09"/>
    <w:pPr>
      <w:ind w:left="708"/>
    </w:pPr>
  </w:style>
  <w:style w:type="character" w:customStyle="1" w:styleId="Platzhaltertext1">
    <w:name w:val="Platzhaltertext1"/>
    <w:uiPriority w:val="99"/>
    <w:semiHidden/>
    <w:rsid w:val="00FB3D09"/>
    <w:rPr>
      <w:color w:val="808080"/>
    </w:rPr>
  </w:style>
  <w:style w:type="paragraph" w:customStyle="1" w:styleId="Default">
    <w:name w:val="Default"/>
    <w:rsid w:val="00FB3D09"/>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B3D09"/>
    <w:rPr>
      <w:rFonts w:ascii="EU Albertina" w:hAnsi="EU Albertina" w:cs="Times New Roman"/>
      <w:color w:val="auto"/>
    </w:rPr>
  </w:style>
  <w:style w:type="paragraph" w:customStyle="1" w:styleId="CM3">
    <w:name w:val="CM3"/>
    <w:basedOn w:val="Default"/>
    <w:next w:val="Default"/>
    <w:uiPriority w:val="99"/>
    <w:rsid w:val="00FB3D09"/>
    <w:rPr>
      <w:rFonts w:ascii="EU Albertina" w:hAnsi="EU Albertina" w:cs="Times New Roman"/>
      <w:color w:val="auto"/>
    </w:rPr>
  </w:style>
  <w:style w:type="paragraph" w:styleId="NormalWeb">
    <w:name w:val="Normal (Web)"/>
    <w:basedOn w:val="Normal"/>
    <w:uiPriority w:val="99"/>
    <w:unhideWhenUsed/>
    <w:rsid w:val="00FB3D09"/>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B3D09"/>
    <w:rPr>
      <w:i/>
      <w:iCs/>
    </w:rPr>
  </w:style>
  <w:style w:type="paragraph" w:customStyle="1" w:styleId="TableMainHeading">
    <w:name w:val="TableMainHeading"/>
    <w:basedOn w:val="Normal"/>
    <w:next w:val="Normal"/>
    <w:uiPriority w:val="99"/>
    <w:rsid w:val="00FB3D09"/>
    <w:pPr>
      <w:jc w:val="left"/>
    </w:pPr>
    <w:rPr>
      <w:rFonts w:ascii="Segoe UI" w:hAnsi="Segoe UI"/>
      <w:sz w:val="22"/>
      <w:szCs w:val="20"/>
    </w:rPr>
  </w:style>
  <w:style w:type="paragraph" w:customStyle="1" w:styleId="body">
    <w:name w:val="body"/>
    <w:qFormat/>
    <w:rsid w:val="00FB3D09"/>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B3D09"/>
    <w:pPr>
      <w:spacing w:before="480"/>
    </w:pPr>
    <w:rPr>
      <w:rFonts w:ascii="Times New Roman" w:hAnsi="Times New Roman"/>
      <w:sz w:val="24"/>
    </w:rPr>
  </w:style>
  <w:style w:type="paragraph" w:customStyle="1" w:styleId="Fait">
    <w:name w:val="Fait à"/>
    <w:basedOn w:val="Normal"/>
    <w:next w:val="Normal"/>
    <w:rsid w:val="00FB3D09"/>
    <w:pPr>
      <w:keepNext/>
      <w:spacing w:after="0"/>
    </w:pPr>
    <w:rPr>
      <w:rFonts w:ascii="Times New Roman" w:hAnsi="Times New Roman"/>
      <w:sz w:val="24"/>
    </w:rPr>
  </w:style>
  <w:style w:type="paragraph" w:customStyle="1" w:styleId="Numberedtilelevel1">
    <w:name w:val="Numbered tile level 1"/>
    <w:basedOn w:val="Titlelevel1"/>
    <w:qFormat/>
    <w:rsid w:val="00FB3D09"/>
    <w:pPr>
      <w:numPr>
        <w:numId w:val="27"/>
      </w:numPr>
    </w:pPr>
  </w:style>
  <w:style w:type="paragraph" w:customStyle="1" w:styleId="Numberedtitlelevel2">
    <w:name w:val="Numbered title level 2"/>
    <w:basedOn w:val="Titlelevel2"/>
    <w:next w:val="body"/>
    <w:qFormat/>
    <w:rsid w:val="00FB3D09"/>
    <w:pPr>
      <w:numPr>
        <w:ilvl w:val="1"/>
        <w:numId w:val="27"/>
      </w:numPr>
    </w:pPr>
  </w:style>
  <w:style w:type="paragraph" w:customStyle="1" w:styleId="Titlelevel2">
    <w:name w:val="Title level 2"/>
    <w:qFormat/>
    <w:rsid w:val="00FB3D09"/>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B3D09"/>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B3D0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B3D09"/>
    <w:pPr>
      <w:numPr>
        <w:numId w:val="25"/>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B3D09"/>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B3D09"/>
    <w:pPr>
      <w:numPr>
        <w:numId w:val="26"/>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B3D09"/>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B3D09"/>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B3D09"/>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B3D09"/>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B3D09"/>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B3D09"/>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B3D09"/>
    <w:pPr>
      <w:numPr>
        <w:numId w:val="23"/>
      </w:numPr>
    </w:pPr>
    <w:rPr>
      <w:szCs w:val="22"/>
    </w:rPr>
  </w:style>
  <w:style w:type="paragraph" w:customStyle="1" w:styleId="bullet2">
    <w:name w:val="bullet 2"/>
    <w:basedOn w:val="body"/>
    <w:qFormat/>
    <w:rsid w:val="00FB3D09"/>
    <w:pPr>
      <w:numPr>
        <w:numId w:val="22"/>
      </w:numPr>
    </w:pPr>
    <w:rPr>
      <w:szCs w:val="22"/>
    </w:rPr>
  </w:style>
  <w:style w:type="paragraph" w:customStyle="1" w:styleId="Numberedtitlelevel3">
    <w:name w:val="Numbered title level 3"/>
    <w:basedOn w:val="Titlelevel3"/>
    <w:next w:val="body"/>
    <w:qFormat/>
    <w:rsid w:val="00FB3D09"/>
    <w:pPr>
      <w:numPr>
        <w:ilvl w:val="2"/>
        <w:numId w:val="27"/>
      </w:numPr>
    </w:pPr>
  </w:style>
  <w:style w:type="table" w:styleId="LightShading">
    <w:name w:val="Light Shading"/>
    <w:basedOn w:val="TableNormal"/>
    <w:uiPriority w:val="60"/>
    <w:rsid w:val="00FB3D09"/>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B3D09"/>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B3D09"/>
  </w:style>
  <w:style w:type="paragraph" w:customStyle="1" w:styleId="Numberedtitlelevel4">
    <w:name w:val="Numbered title level 4"/>
    <w:basedOn w:val="Titlelevel4"/>
    <w:qFormat/>
    <w:rsid w:val="00FB3D09"/>
    <w:pPr>
      <w:numPr>
        <w:numId w:val="24"/>
      </w:numPr>
    </w:pPr>
  </w:style>
  <w:style w:type="paragraph" w:styleId="Title">
    <w:name w:val="Title"/>
    <w:basedOn w:val="Normal"/>
    <w:next w:val="Normal"/>
    <w:link w:val="TitleChar"/>
    <w:qFormat/>
    <w:rsid w:val="00FB3D09"/>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B3D09"/>
    <w:rPr>
      <w:rFonts w:asciiTheme="majorHAnsi" w:eastAsiaTheme="majorEastAsia" w:hAnsiTheme="majorHAnsi" w:cstheme="majorBidi"/>
      <w:color w:val="44546A" w:themeColor="text2"/>
      <w:spacing w:val="5"/>
      <w:kern w:val="28"/>
      <w:sz w:val="52"/>
      <w:szCs w:val="52"/>
      <w:lang w:val="hu-HU"/>
      <w14:ligatures w14:val="none"/>
    </w:rPr>
  </w:style>
  <w:style w:type="paragraph" w:styleId="Subtitle">
    <w:name w:val="Subtitle"/>
    <w:next w:val="Normal"/>
    <w:link w:val="SubtitleChar"/>
    <w:autoRedefine/>
    <w:uiPriority w:val="11"/>
    <w:qFormat/>
    <w:rsid w:val="00FB3D09"/>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B3D09"/>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B3D09"/>
    <w:rPr>
      <w:b/>
      <w:bCs/>
      <w:smallCaps/>
      <w:spacing w:val="5"/>
    </w:rPr>
  </w:style>
  <w:style w:type="character" w:customStyle="1" w:styleId="Highlighttext">
    <w:name w:val="Highlight text"/>
    <w:basedOn w:val="DefaultParagraphFont"/>
    <w:uiPriority w:val="1"/>
    <w:semiHidden/>
    <w:qFormat/>
    <w:rsid w:val="00FB3D09"/>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B3D09"/>
    <w:rPr>
      <w:bCs/>
      <w:lang w:eastAsia="en-GB"/>
    </w:rPr>
  </w:style>
  <w:style w:type="paragraph" w:styleId="ListBullet">
    <w:name w:val="List Bullet"/>
    <w:basedOn w:val="Normal"/>
    <w:semiHidden/>
    <w:qFormat/>
    <w:rsid w:val="00FB3D09"/>
    <w:pPr>
      <w:numPr>
        <w:numId w:val="29"/>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B3D09"/>
    <w:pPr>
      <w:numPr>
        <w:numId w:val="28"/>
      </w:numPr>
    </w:pPr>
  </w:style>
  <w:style w:type="character" w:customStyle="1" w:styleId="Marker">
    <w:name w:val="Marker"/>
    <w:rsid w:val="00FB3D09"/>
    <w:rPr>
      <w:color w:val="0000FF"/>
      <w:shd w:val="clear" w:color="auto" w:fill="auto"/>
    </w:rPr>
  </w:style>
  <w:style w:type="character" w:customStyle="1" w:styleId="Marker2">
    <w:name w:val="Marker2"/>
    <w:rsid w:val="00FB3D09"/>
    <w:rPr>
      <w:color w:val="FF0000"/>
      <w:shd w:val="clear" w:color="auto" w:fill="auto"/>
    </w:rPr>
  </w:style>
  <w:style w:type="paragraph" w:customStyle="1" w:styleId="Annexetitre">
    <w:name w:val="Annexe titre"/>
    <w:basedOn w:val="Normal"/>
    <w:next w:val="Normal"/>
    <w:rsid w:val="00FB3D09"/>
    <w:pPr>
      <w:jc w:val="center"/>
    </w:pPr>
    <w:rPr>
      <w:rFonts w:ascii="Times New Roman" w:hAnsi="Times New Roman"/>
      <w:b/>
      <w:sz w:val="24"/>
      <w:u w:val="single"/>
    </w:rPr>
  </w:style>
  <w:style w:type="paragraph" w:customStyle="1" w:styleId="Considrant">
    <w:name w:val="Considérant"/>
    <w:basedOn w:val="Normal"/>
    <w:rsid w:val="00FB3D09"/>
    <w:pPr>
      <w:numPr>
        <w:numId w:val="30"/>
      </w:numPr>
    </w:pPr>
    <w:rPr>
      <w:rFonts w:ascii="Times New Roman" w:hAnsi="Times New Roman"/>
      <w:sz w:val="24"/>
    </w:rPr>
  </w:style>
  <w:style w:type="paragraph" w:customStyle="1" w:styleId="Datedadoption">
    <w:name w:val="Date d'adoption"/>
    <w:basedOn w:val="Normal"/>
    <w:next w:val="Titreobjet"/>
    <w:rsid w:val="00FB3D09"/>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B3D09"/>
    <w:pPr>
      <w:keepNext/>
    </w:pPr>
    <w:rPr>
      <w:rFonts w:ascii="Times New Roman" w:hAnsi="Times New Roman"/>
      <w:sz w:val="24"/>
    </w:rPr>
  </w:style>
  <w:style w:type="paragraph" w:customStyle="1" w:styleId="Institutionquisigne">
    <w:name w:val="Institution qui signe"/>
    <w:basedOn w:val="Normal"/>
    <w:next w:val="Personnequisigne"/>
    <w:rsid w:val="00FB3D09"/>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B3D09"/>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B3D09"/>
    <w:pPr>
      <w:spacing w:before="360" w:after="360"/>
      <w:jc w:val="center"/>
    </w:pPr>
    <w:rPr>
      <w:rFonts w:ascii="Times New Roman" w:hAnsi="Times New Roman"/>
      <w:b/>
      <w:sz w:val="24"/>
    </w:rPr>
  </w:style>
  <w:style w:type="paragraph" w:customStyle="1" w:styleId="Typedudocument">
    <w:name w:val="Type du document"/>
    <w:basedOn w:val="Normal"/>
    <w:next w:val="Titreobjet"/>
    <w:rsid w:val="00FB3D09"/>
    <w:pPr>
      <w:spacing w:before="360" w:after="0"/>
      <w:jc w:val="center"/>
    </w:pPr>
    <w:rPr>
      <w:rFonts w:ascii="Times New Roman" w:hAnsi="Times New Roman"/>
      <w:b/>
      <w:sz w:val="24"/>
    </w:rPr>
  </w:style>
  <w:style w:type="paragraph" w:customStyle="1" w:styleId="Pagedecouverture">
    <w:name w:val="Page de couverture"/>
    <w:basedOn w:val="Normal"/>
    <w:next w:val="Normal"/>
    <w:rsid w:val="00FB3D09"/>
    <w:rPr>
      <w:rFonts w:ascii="Times New Roman" w:hAnsi="Times New Roman"/>
      <w:sz w:val="24"/>
    </w:rPr>
  </w:style>
  <w:style w:type="paragraph" w:customStyle="1" w:styleId="Institutionquiagit">
    <w:name w:val="Institution qui agit"/>
    <w:basedOn w:val="Normal"/>
    <w:next w:val="Normal"/>
    <w:rsid w:val="00FB3D09"/>
    <w:pPr>
      <w:keepNext/>
      <w:spacing w:before="600"/>
    </w:pPr>
    <w:rPr>
      <w:rFonts w:ascii="Times New Roman" w:hAnsi="Times New Roman"/>
      <w:sz w:val="24"/>
    </w:rPr>
  </w:style>
  <w:style w:type="paragraph" w:styleId="Caption">
    <w:name w:val="caption"/>
    <w:basedOn w:val="Normal"/>
    <w:next w:val="Normal"/>
    <w:uiPriority w:val="35"/>
    <w:unhideWhenUsed/>
    <w:qFormat/>
    <w:rsid w:val="00FB3D09"/>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B3D09"/>
    <w:pPr>
      <w:spacing w:before="60"/>
    </w:pPr>
    <w:rPr>
      <w:rFonts w:ascii="Segoe UI" w:hAnsi="Segoe UI"/>
      <w:sz w:val="15"/>
      <w:szCs w:val="20"/>
    </w:rPr>
  </w:style>
  <w:style w:type="paragraph" w:customStyle="1" w:styleId="CM11">
    <w:name w:val="CM1+1"/>
    <w:basedOn w:val="Default"/>
    <w:next w:val="Default"/>
    <w:uiPriority w:val="99"/>
    <w:rsid w:val="00FB3D09"/>
    <w:rPr>
      <w:rFonts w:ascii="EUAlbertina" w:eastAsiaTheme="minorEastAsia" w:hAnsi="EUAlbertina" w:cstheme="minorBidi"/>
      <w:color w:val="auto"/>
      <w:lang w:eastAsia="en-US"/>
    </w:rPr>
  </w:style>
  <w:style w:type="paragraph" w:customStyle="1" w:styleId="CM31">
    <w:name w:val="CM3+1"/>
    <w:basedOn w:val="Default"/>
    <w:next w:val="Default"/>
    <w:uiPriority w:val="99"/>
    <w:rsid w:val="00FB3D09"/>
    <w:rPr>
      <w:rFonts w:ascii="EUAlbertina" w:eastAsiaTheme="minorEastAsia" w:hAnsi="EUAlbertina" w:cstheme="minorBidi"/>
      <w:color w:val="auto"/>
      <w:lang w:eastAsia="en-US"/>
    </w:rPr>
  </w:style>
  <w:style w:type="paragraph" w:customStyle="1" w:styleId="CM13">
    <w:name w:val="CM1+3"/>
    <w:basedOn w:val="Default"/>
    <w:next w:val="Default"/>
    <w:uiPriority w:val="99"/>
    <w:rsid w:val="00FB3D09"/>
    <w:rPr>
      <w:rFonts w:ascii="EUAlbertina" w:eastAsiaTheme="minorEastAsia" w:hAnsi="EUAlbertina" w:cstheme="minorBidi"/>
      <w:color w:val="auto"/>
      <w:lang w:eastAsia="en-US"/>
    </w:rPr>
  </w:style>
  <w:style w:type="paragraph" w:customStyle="1" w:styleId="CM33">
    <w:name w:val="CM3+3"/>
    <w:basedOn w:val="Default"/>
    <w:next w:val="Default"/>
    <w:uiPriority w:val="99"/>
    <w:rsid w:val="00FB3D09"/>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B3D09"/>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B3D09"/>
    <w:rPr>
      <w:color w:val="605E5C"/>
      <w:shd w:val="clear" w:color="auto" w:fill="E1DFDD"/>
    </w:rPr>
  </w:style>
  <w:style w:type="character" w:styleId="Mention">
    <w:name w:val="Mention"/>
    <w:basedOn w:val="DefaultParagraphFont"/>
    <w:uiPriority w:val="99"/>
    <w:unhideWhenUsed/>
    <w:rsid w:val="00FB3D09"/>
    <w:rPr>
      <w:color w:val="2B579A"/>
      <w:shd w:val="clear" w:color="auto" w:fill="E1DFDD"/>
    </w:rPr>
  </w:style>
  <w:style w:type="paragraph" w:customStyle="1" w:styleId="pf0">
    <w:name w:val="pf0"/>
    <w:basedOn w:val="Normal"/>
    <w:rsid w:val="00FB3D09"/>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B3D09"/>
  </w:style>
  <w:style w:type="character" w:customStyle="1" w:styleId="cf01">
    <w:name w:val="cf01"/>
    <w:basedOn w:val="DefaultParagraphFont"/>
    <w:rsid w:val="00FB3D09"/>
    <w:rPr>
      <w:rFonts w:ascii="Segoe UI" w:hAnsi="Segoe UI" w:cs="Segoe UI" w:hint="default"/>
      <w:sz w:val="18"/>
      <w:szCs w:val="18"/>
    </w:rPr>
  </w:style>
  <w:style w:type="paragraph" w:styleId="BodyText">
    <w:name w:val="Body Text"/>
    <w:basedOn w:val="Normal"/>
    <w:link w:val="BodyTextChar"/>
    <w:rsid w:val="00FB3D09"/>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B3D09"/>
    <w:rPr>
      <w:rFonts w:ascii="Liberation Serif" w:eastAsia="SimSun" w:hAnsi="Liberation Serif" w:cs="Lucida Sans"/>
      <w:kern w:val="0"/>
      <w:sz w:val="24"/>
      <w:szCs w:val="24"/>
      <w:lang w:val="hu-HU" w:eastAsia="zh-CN" w:bidi="hi-IN"/>
      <w14:ligatures w14:val="none"/>
    </w:rPr>
  </w:style>
  <w:style w:type="paragraph" w:customStyle="1" w:styleId="Tabelleninhalt">
    <w:name w:val="Tabelleninhalt"/>
    <w:basedOn w:val="Normal"/>
    <w:qFormat/>
    <w:rsid w:val="00FB3D09"/>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B3D09"/>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B3D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20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A54F74-0573-4C9E-A327-9C3DED0064B4}"/>
</file>

<file path=customXml/itemProps2.xml><?xml version="1.0" encoding="utf-8"?>
<ds:datastoreItem xmlns:ds="http://schemas.openxmlformats.org/officeDocument/2006/customXml" ds:itemID="{CE515D26-D1AF-4358-A209-C917BC472C9F}">
  <ds:schemaRefs>
    <ds:schemaRef ds:uri="http://schemas.microsoft.com/sharepoint/v3/contenttype/forms"/>
  </ds:schemaRefs>
</ds:datastoreItem>
</file>

<file path=customXml/itemProps3.xml><?xml version="1.0" encoding="utf-8"?>
<ds:datastoreItem xmlns:ds="http://schemas.openxmlformats.org/officeDocument/2006/customXml" ds:itemID="{966EEAC2-429F-490C-9E25-655FD78C3A3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28</Pages>
  <Words>8261</Words>
  <Characters>59154</Characters>
  <Application>Microsoft Office Word</Application>
  <DocSecurity>0</DocSecurity>
  <Lines>1232</Lines>
  <Paragraphs>667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2024-06-19T17:58:00Z</dcterms:created>
  <dcterms:modified xsi:type="dcterms:W3CDTF">2025-01-27T14:19:00Z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2025-01-27T13:36:12Z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a0891e88-dc7c-4fce-9111-fac4529fc76d</vt:lpwstr>
  </property>
  <property fmtid="{D5CDD505-2E9C-101B-9397-08002B2CF9AE}" pid="9" name="MSIP_Label_6bd9ddd1-4d20-43f6-abfa-fc3c07406f94_ContentBits">
    <vt:lpwstr>0</vt:lpwstr>
  </property>
</Properties>
</file>